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4B" w:rsidRPr="008A7E4B" w:rsidRDefault="00587972" w:rsidP="008A7E4B">
      <w:pPr>
        <w:pStyle w:val="Kop1"/>
      </w:pPr>
      <w:r w:rsidRPr="00587972">
        <w:t>Energie Investeringsaftrek</w:t>
      </w:r>
      <w:r w:rsidR="008A7E4B">
        <w:t xml:space="preserve"> samenvatting</w:t>
      </w:r>
    </w:p>
    <w:p w:rsidR="00587972" w:rsidRPr="006E4FD7" w:rsidRDefault="009B1BAC" w:rsidP="00587972">
      <w:pPr>
        <w:rPr>
          <w:i/>
          <w:color w:val="auto"/>
        </w:rPr>
      </w:pPr>
      <w:r w:rsidRPr="009B1BAC">
        <w:rPr>
          <w:i/>
          <w:color w:val="auto"/>
        </w:rPr>
        <w:fldChar w:fldCharType="begin"/>
      </w:r>
      <w:r w:rsidR="00587972" w:rsidRPr="006E4FD7">
        <w:rPr>
          <w:i/>
          <w:color w:val="auto"/>
        </w:rPr>
        <w:instrText xml:space="preserve"> TIME \@ "d-M-yyyy" </w:instrText>
      </w:r>
      <w:r w:rsidRPr="009B1BAC">
        <w:rPr>
          <w:i/>
          <w:color w:val="auto"/>
        </w:rPr>
        <w:fldChar w:fldCharType="separate"/>
      </w:r>
      <w:r w:rsidR="004B752F">
        <w:rPr>
          <w:i/>
          <w:noProof/>
          <w:color w:val="auto"/>
        </w:rPr>
        <w:t>4-1-2016</w:t>
      </w:r>
      <w:r w:rsidRPr="006E4FD7">
        <w:rPr>
          <w:color w:val="auto"/>
        </w:rPr>
        <w:fldChar w:fldCharType="end"/>
      </w:r>
    </w:p>
    <w:p w:rsidR="00587972" w:rsidRDefault="00587972" w:rsidP="00587972">
      <w:pPr>
        <w:rPr>
          <w:color w:val="auto"/>
        </w:rPr>
      </w:pPr>
      <w:r w:rsidRPr="006E4FD7">
        <w:rPr>
          <w:color w:val="auto"/>
        </w:rPr>
        <w:t xml:space="preserve">Energiebesparende maatregelen en energie-efficiënte technieken kunnen in aanmerking komen voor Energie Investeringsaftrek (EIA). De overheid wil met de EIA het Nederlandse bedrijfsleven aansporen tot energiebesparing en toepassing van duurzame energie. Met de EIA kunt u </w:t>
      </w:r>
      <w:r w:rsidR="006E4FD7" w:rsidRPr="006E4FD7">
        <w:rPr>
          <w:color w:val="auto"/>
        </w:rPr>
        <w:t>58</w:t>
      </w:r>
      <w:r w:rsidRPr="006E4FD7">
        <w:rPr>
          <w:color w:val="auto"/>
        </w:rPr>
        <w:t>,</w:t>
      </w:r>
      <w:r w:rsidR="006E4FD7" w:rsidRPr="006E4FD7">
        <w:rPr>
          <w:color w:val="auto"/>
        </w:rPr>
        <w:t>0</w:t>
      </w:r>
      <w:r w:rsidRPr="006E4FD7">
        <w:rPr>
          <w:color w:val="auto"/>
        </w:rPr>
        <w:t>% van de investeringskosten extra aftrekken van de fiscale winst. Het directe financiële voordeel is afhankelijk van het belastingpercentage; het bedraagt ongeveer 1</w:t>
      </w:r>
      <w:r w:rsidR="006E4FD7" w:rsidRPr="006E4FD7">
        <w:rPr>
          <w:color w:val="auto"/>
        </w:rPr>
        <w:t>4</w:t>
      </w:r>
      <w:r w:rsidRPr="006E4FD7">
        <w:rPr>
          <w:color w:val="auto"/>
        </w:rPr>
        <w:t xml:space="preserve">% van de goedgekeurde investeringskosten. De EIA kunt u toepassen naast de 'gewone' investeringsaftrek. Uw investering biedt dubbel voordeel: uw energiekosten gaan omlaag </w:t>
      </w:r>
      <w:proofErr w:type="spellStart"/>
      <w:r w:rsidRPr="006E4FD7">
        <w:rPr>
          <w:color w:val="auto"/>
        </w:rPr>
        <w:t>én</w:t>
      </w:r>
      <w:proofErr w:type="spellEnd"/>
      <w:r w:rsidRPr="006E4FD7">
        <w:rPr>
          <w:color w:val="auto"/>
        </w:rPr>
        <w:t xml:space="preserve"> u betaalt minder inkomsten- of vennootschapsbelasting.</w:t>
      </w:r>
    </w:p>
    <w:p w:rsidR="006E4FD7" w:rsidRPr="006E4FD7" w:rsidRDefault="006E4FD7" w:rsidP="00587972">
      <w:pPr>
        <w:rPr>
          <w:color w:val="auto"/>
        </w:rPr>
      </w:pPr>
    </w:p>
    <w:p w:rsidR="00587972" w:rsidRDefault="00587972" w:rsidP="00587972">
      <w:pPr>
        <w:rPr>
          <w:color w:val="auto"/>
        </w:rPr>
      </w:pPr>
      <w:r w:rsidRPr="006E4FD7">
        <w:rPr>
          <w:color w:val="auto"/>
        </w:rPr>
        <w:t>Dit is alleen mogelijk voor (winstgevende) ondernemingen welke belastingplichtig zijn voor inkomsten- of vennootschapsbelasting.</w:t>
      </w:r>
    </w:p>
    <w:p w:rsidR="006E4FD7" w:rsidRPr="006E4FD7" w:rsidRDefault="006E4FD7" w:rsidP="00587972">
      <w:pPr>
        <w:rPr>
          <w:color w:val="auto"/>
        </w:rPr>
      </w:pPr>
    </w:p>
    <w:p w:rsidR="00587972" w:rsidRDefault="00587972" w:rsidP="00587972">
      <w:pPr>
        <w:rPr>
          <w:color w:val="auto"/>
        </w:rPr>
      </w:pPr>
      <w:r w:rsidRPr="006E4FD7">
        <w:rPr>
          <w:color w:val="auto"/>
        </w:rPr>
        <w:t>Wat in aanmerking komt zijn de aanschafkosten inclusief de kosten om het bedrijfsmiddel gebruiksklaar te maken (bijv. regeling, aansluiting). Ook voortbrengingskosten voor eigen werknemers, kosten voor aanpassingen aan bestaande bedrijfsmiddelen en kosten voor energieadvies komen in aanmerking.</w:t>
      </w:r>
    </w:p>
    <w:p w:rsidR="006E4FD7" w:rsidRPr="006E4FD7" w:rsidRDefault="006E4FD7" w:rsidP="00587972">
      <w:pPr>
        <w:rPr>
          <w:color w:val="auto"/>
        </w:rPr>
      </w:pPr>
    </w:p>
    <w:p w:rsidR="00587972" w:rsidRDefault="00587972" w:rsidP="00587972">
      <w:pPr>
        <w:rPr>
          <w:color w:val="auto"/>
        </w:rPr>
      </w:pPr>
      <w:r w:rsidRPr="006E4FD7">
        <w:rPr>
          <w:color w:val="auto"/>
        </w:rPr>
        <w:t>Maatregelen kunnen betrekking hebben op energiebesparing en efficiënte of duurzame opwekking. Afhankelijk van het type maatregel moet deze voldoen aan bepaalde technische eisen of moet de te behalen energiebesparing onderbouwd worden.</w:t>
      </w:r>
    </w:p>
    <w:p w:rsidR="006E4FD7" w:rsidRPr="006E4FD7" w:rsidRDefault="006E4FD7" w:rsidP="00587972">
      <w:pPr>
        <w:rPr>
          <w:color w:val="auto"/>
        </w:rPr>
      </w:pPr>
    </w:p>
    <w:p w:rsidR="00587972" w:rsidRPr="006E4FD7" w:rsidRDefault="00587972" w:rsidP="00587972">
      <w:pPr>
        <w:rPr>
          <w:b/>
          <w:color w:val="auto"/>
        </w:rPr>
      </w:pPr>
      <w:r w:rsidRPr="006E4FD7">
        <w:rPr>
          <w:b/>
          <w:color w:val="auto"/>
        </w:rPr>
        <w:t>Inhoudelijk (samenvatting)</w:t>
      </w:r>
    </w:p>
    <w:p w:rsidR="00587972" w:rsidRPr="006E4FD7" w:rsidRDefault="00587972" w:rsidP="00587972">
      <w:pPr>
        <w:rPr>
          <w:b/>
          <w:color w:val="auto"/>
        </w:rPr>
      </w:pPr>
      <w:r w:rsidRPr="006E4FD7">
        <w:rPr>
          <w:color w:val="auto"/>
        </w:rPr>
        <w:t xml:space="preserve">Toelichting op een aantal van de maatregelen. </w:t>
      </w:r>
      <w:r w:rsidRPr="006E4FD7">
        <w:rPr>
          <w:b/>
          <w:color w:val="auto"/>
        </w:rPr>
        <w:t>GEEN COMPLETE LIJST, zie hiervoor de Energielijst</w:t>
      </w:r>
    </w:p>
    <w:p w:rsidR="006E4FD7" w:rsidRPr="006E4FD7" w:rsidRDefault="006E4FD7" w:rsidP="00587972">
      <w:pPr>
        <w:rPr>
          <w:color w:val="auto"/>
        </w:rPr>
      </w:pPr>
    </w:p>
    <w:p w:rsidR="006E4FD7" w:rsidRDefault="00587972" w:rsidP="00587972">
      <w:pPr>
        <w:rPr>
          <w:color w:val="auto"/>
          <w:u w:val="single"/>
        </w:rPr>
      </w:pPr>
      <w:r w:rsidRPr="006E4FD7">
        <w:rPr>
          <w:color w:val="auto"/>
          <w:u w:val="single"/>
        </w:rPr>
        <w:t>Generieke maatregel bedrijfsgebouw</w:t>
      </w:r>
    </w:p>
    <w:p w:rsidR="00587972" w:rsidRPr="006E4FD7" w:rsidRDefault="00587972" w:rsidP="00587972">
      <w:pPr>
        <w:rPr>
          <w:color w:val="auto"/>
        </w:rPr>
      </w:pPr>
      <w:r w:rsidRPr="006E4FD7">
        <w:rPr>
          <w:color w:val="auto"/>
        </w:rPr>
        <w:t>Indien de besparing per geïnvesteerde euro binnen bepaalde grenzen ligt komt de maatregel in aanmerking. De besparing is ten opzichte van historisch verbruik (bestaande bouw) of gangbare technieken (nieuwbouw).</w:t>
      </w:r>
    </w:p>
    <w:p w:rsidR="00587972" w:rsidRPr="006E4FD7" w:rsidRDefault="00587972" w:rsidP="00587972">
      <w:pPr>
        <w:rPr>
          <w:color w:val="auto"/>
        </w:rPr>
      </w:pPr>
      <w:r w:rsidRPr="006E4FD7">
        <w:rPr>
          <w:color w:val="auto"/>
        </w:rPr>
        <w:t>Besparing minstens 0,20 m³ of 0,77 kWh per geïnvesteerde euro.</w:t>
      </w:r>
    </w:p>
    <w:p w:rsidR="006E4FD7" w:rsidRPr="006E4FD7" w:rsidRDefault="006E4FD7" w:rsidP="00587972">
      <w:pPr>
        <w:rPr>
          <w:color w:val="auto"/>
        </w:rPr>
      </w:pPr>
    </w:p>
    <w:p w:rsidR="006E4FD7" w:rsidRDefault="00587972" w:rsidP="00587972">
      <w:pPr>
        <w:rPr>
          <w:color w:val="auto"/>
          <w:u w:val="single"/>
        </w:rPr>
      </w:pPr>
      <w:r w:rsidRPr="006E4FD7">
        <w:rPr>
          <w:color w:val="auto"/>
          <w:u w:val="single"/>
        </w:rPr>
        <w:t>Pakket van maatregelen</w:t>
      </w:r>
    </w:p>
    <w:p w:rsidR="00587972" w:rsidRDefault="00587972" w:rsidP="00587972">
      <w:pPr>
        <w:rPr>
          <w:color w:val="auto"/>
        </w:rPr>
      </w:pPr>
      <w:r w:rsidRPr="006E4FD7">
        <w:rPr>
          <w:color w:val="auto"/>
        </w:rPr>
        <w:t>Een pakket van maatregelen waarbij het energielabel minstens A wordt, of minstens met 3 stappen en 0,40 energie-index verbeterd. Deze moet gebaseerd zijn op een EPA-U maatwerkadvies. Dit kan bestaan uit verschillende maatregelen welke ‘los’ niet in aanmerking zouden komen. Aan de maatregelen worden geen verdere technische eisen gesteld.</w:t>
      </w:r>
    </w:p>
    <w:tbl>
      <w:tblPr>
        <w:tblStyle w:val="Tabelraster"/>
        <w:tblW w:w="5000" w:type="pct"/>
        <w:tblLook w:val="04A0"/>
      </w:tblPr>
      <w:tblGrid>
        <w:gridCol w:w="4845"/>
        <w:gridCol w:w="766"/>
        <w:gridCol w:w="792"/>
        <w:gridCol w:w="792"/>
        <w:gridCol w:w="766"/>
        <w:gridCol w:w="792"/>
        <w:gridCol w:w="817"/>
      </w:tblGrid>
      <w:tr w:rsidR="00587972" w:rsidRPr="006E4FD7" w:rsidTr="00525815">
        <w:trPr>
          <w:cantSplit/>
        </w:trPr>
        <w:tc>
          <w:tcPr>
            <w:tcW w:w="2531" w:type="pct"/>
          </w:tcPr>
          <w:p w:rsidR="00587972" w:rsidRPr="006E4FD7" w:rsidRDefault="00587972" w:rsidP="00587972">
            <w:pPr>
              <w:rPr>
                <w:color w:val="auto"/>
              </w:rPr>
            </w:pPr>
            <w:r w:rsidRPr="006E4FD7">
              <w:rPr>
                <w:color w:val="auto"/>
              </w:rPr>
              <w:t>Oud label</w:t>
            </w:r>
          </w:p>
        </w:tc>
        <w:tc>
          <w:tcPr>
            <w:tcW w:w="400" w:type="pct"/>
          </w:tcPr>
          <w:p w:rsidR="00587972" w:rsidRPr="006E4FD7" w:rsidRDefault="00587972" w:rsidP="00587972">
            <w:pPr>
              <w:rPr>
                <w:color w:val="auto"/>
              </w:rPr>
            </w:pPr>
            <w:r w:rsidRPr="006E4FD7">
              <w:rPr>
                <w:color w:val="auto"/>
              </w:rPr>
              <w:t>B</w:t>
            </w:r>
          </w:p>
        </w:tc>
        <w:tc>
          <w:tcPr>
            <w:tcW w:w="414" w:type="pct"/>
          </w:tcPr>
          <w:p w:rsidR="00587972" w:rsidRPr="006E4FD7" w:rsidRDefault="00587972" w:rsidP="00587972">
            <w:pPr>
              <w:rPr>
                <w:color w:val="auto"/>
              </w:rPr>
            </w:pPr>
            <w:r w:rsidRPr="006E4FD7">
              <w:rPr>
                <w:color w:val="auto"/>
              </w:rPr>
              <w:t>C</w:t>
            </w:r>
          </w:p>
        </w:tc>
        <w:tc>
          <w:tcPr>
            <w:tcW w:w="414" w:type="pct"/>
          </w:tcPr>
          <w:p w:rsidR="00587972" w:rsidRPr="006E4FD7" w:rsidRDefault="00587972" w:rsidP="00587972">
            <w:pPr>
              <w:rPr>
                <w:color w:val="auto"/>
              </w:rPr>
            </w:pPr>
            <w:r w:rsidRPr="006E4FD7">
              <w:rPr>
                <w:color w:val="auto"/>
              </w:rPr>
              <w:t>D</w:t>
            </w:r>
          </w:p>
        </w:tc>
        <w:tc>
          <w:tcPr>
            <w:tcW w:w="400" w:type="pct"/>
          </w:tcPr>
          <w:p w:rsidR="00587972" w:rsidRPr="006E4FD7" w:rsidRDefault="00587972" w:rsidP="00587972">
            <w:pPr>
              <w:rPr>
                <w:color w:val="auto"/>
              </w:rPr>
            </w:pPr>
            <w:r w:rsidRPr="006E4FD7">
              <w:rPr>
                <w:color w:val="auto"/>
              </w:rPr>
              <w:t>E</w:t>
            </w:r>
          </w:p>
        </w:tc>
        <w:tc>
          <w:tcPr>
            <w:tcW w:w="414" w:type="pct"/>
          </w:tcPr>
          <w:p w:rsidR="00587972" w:rsidRPr="006E4FD7" w:rsidRDefault="00587972" w:rsidP="00587972">
            <w:pPr>
              <w:rPr>
                <w:color w:val="auto"/>
              </w:rPr>
            </w:pPr>
            <w:r w:rsidRPr="006E4FD7">
              <w:rPr>
                <w:color w:val="auto"/>
              </w:rPr>
              <w:t>F</w:t>
            </w:r>
          </w:p>
        </w:tc>
        <w:tc>
          <w:tcPr>
            <w:tcW w:w="427" w:type="pct"/>
          </w:tcPr>
          <w:p w:rsidR="00587972" w:rsidRPr="006E4FD7" w:rsidRDefault="00587972" w:rsidP="00587972">
            <w:pPr>
              <w:rPr>
                <w:color w:val="auto"/>
              </w:rPr>
            </w:pPr>
            <w:r w:rsidRPr="006E4FD7">
              <w:rPr>
                <w:color w:val="auto"/>
              </w:rPr>
              <w:t>G</w:t>
            </w:r>
          </w:p>
        </w:tc>
      </w:tr>
      <w:tr w:rsidR="00587972" w:rsidRPr="006E4FD7" w:rsidTr="00525815">
        <w:trPr>
          <w:cantSplit/>
        </w:trPr>
        <w:tc>
          <w:tcPr>
            <w:tcW w:w="2531" w:type="pct"/>
          </w:tcPr>
          <w:p w:rsidR="00587972" w:rsidRPr="006E4FD7" w:rsidRDefault="00587972" w:rsidP="00587972">
            <w:pPr>
              <w:rPr>
                <w:color w:val="auto"/>
              </w:rPr>
            </w:pPr>
            <w:r w:rsidRPr="006E4FD7">
              <w:rPr>
                <w:color w:val="auto"/>
              </w:rPr>
              <w:t>Nieuw label minstens</w:t>
            </w:r>
          </w:p>
        </w:tc>
        <w:tc>
          <w:tcPr>
            <w:tcW w:w="400" w:type="pct"/>
          </w:tcPr>
          <w:p w:rsidR="00587972" w:rsidRPr="006E4FD7" w:rsidRDefault="00587972" w:rsidP="00587972">
            <w:pPr>
              <w:rPr>
                <w:color w:val="auto"/>
              </w:rPr>
            </w:pPr>
            <w:r w:rsidRPr="006E4FD7">
              <w:rPr>
                <w:color w:val="auto"/>
              </w:rPr>
              <w:t>A</w:t>
            </w:r>
          </w:p>
        </w:tc>
        <w:tc>
          <w:tcPr>
            <w:tcW w:w="414" w:type="pct"/>
          </w:tcPr>
          <w:p w:rsidR="00587972" w:rsidRPr="006E4FD7" w:rsidRDefault="00587972" w:rsidP="00587972">
            <w:pPr>
              <w:rPr>
                <w:color w:val="auto"/>
              </w:rPr>
            </w:pPr>
            <w:r w:rsidRPr="006E4FD7">
              <w:rPr>
                <w:color w:val="auto"/>
              </w:rPr>
              <w:t>A</w:t>
            </w:r>
          </w:p>
        </w:tc>
        <w:tc>
          <w:tcPr>
            <w:tcW w:w="414" w:type="pct"/>
          </w:tcPr>
          <w:p w:rsidR="00587972" w:rsidRPr="006E4FD7" w:rsidRDefault="00587972" w:rsidP="00587972">
            <w:pPr>
              <w:rPr>
                <w:color w:val="auto"/>
              </w:rPr>
            </w:pPr>
            <w:r w:rsidRPr="006E4FD7">
              <w:rPr>
                <w:color w:val="auto"/>
              </w:rPr>
              <w:t>A</w:t>
            </w:r>
          </w:p>
        </w:tc>
        <w:tc>
          <w:tcPr>
            <w:tcW w:w="400" w:type="pct"/>
          </w:tcPr>
          <w:p w:rsidR="00587972" w:rsidRPr="006E4FD7" w:rsidRDefault="00587972" w:rsidP="00587972">
            <w:pPr>
              <w:rPr>
                <w:color w:val="auto"/>
              </w:rPr>
            </w:pPr>
            <w:r w:rsidRPr="006E4FD7">
              <w:rPr>
                <w:color w:val="auto"/>
              </w:rPr>
              <w:t>B</w:t>
            </w:r>
          </w:p>
        </w:tc>
        <w:tc>
          <w:tcPr>
            <w:tcW w:w="414" w:type="pct"/>
          </w:tcPr>
          <w:p w:rsidR="00587972" w:rsidRPr="006E4FD7" w:rsidRDefault="00587972" w:rsidP="00587972">
            <w:pPr>
              <w:rPr>
                <w:color w:val="auto"/>
              </w:rPr>
            </w:pPr>
            <w:r w:rsidRPr="006E4FD7">
              <w:rPr>
                <w:color w:val="auto"/>
              </w:rPr>
              <w:t>C</w:t>
            </w:r>
          </w:p>
        </w:tc>
        <w:tc>
          <w:tcPr>
            <w:tcW w:w="427" w:type="pct"/>
          </w:tcPr>
          <w:p w:rsidR="00587972" w:rsidRPr="006E4FD7" w:rsidRDefault="00587972" w:rsidP="00587972">
            <w:pPr>
              <w:rPr>
                <w:color w:val="auto"/>
              </w:rPr>
            </w:pPr>
            <w:r w:rsidRPr="006E4FD7">
              <w:rPr>
                <w:color w:val="auto"/>
              </w:rPr>
              <w:t>D</w:t>
            </w:r>
          </w:p>
        </w:tc>
      </w:tr>
    </w:tbl>
    <w:p w:rsidR="00587972" w:rsidRPr="00587972" w:rsidRDefault="00587972" w:rsidP="00587972">
      <w:pPr>
        <w:rPr>
          <w:color w:val="FF0000"/>
        </w:rPr>
      </w:pPr>
    </w:p>
    <w:p w:rsidR="006E4FD7" w:rsidRDefault="00587972" w:rsidP="006E4FD7">
      <w:pPr>
        <w:rPr>
          <w:color w:val="auto"/>
          <w:u w:val="single"/>
        </w:rPr>
      </w:pPr>
      <w:r w:rsidRPr="006E4FD7">
        <w:rPr>
          <w:color w:val="auto"/>
          <w:u w:val="single"/>
        </w:rPr>
        <w:t xml:space="preserve">Koude- of </w:t>
      </w:r>
      <w:proofErr w:type="spellStart"/>
      <w:r w:rsidRPr="006E4FD7">
        <w:rPr>
          <w:color w:val="auto"/>
          <w:u w:val="single"/>
        </w:rPr>
        <w:t>warmteterugwinningssysteem</w:t>
      </w:r>
      <w:proofErr w:type="spellEnd"/>
      <w:r w:rsidRPr="006E4FD7">
        <w:rPr>
          <w:color w:val="auto"/>
          <w:u w:val="single"/>
        </w:rPr>
        <w:t xml:space="preserve"> uit ventilatielucht</w:t>
      </w:r>
    </w:p>
    <w:p w:rsidR="00587972" w:rsidRDefault="006E4FD7" w:rsidP="006E4FD7">
      <w:pPr>
        <w:rPr>
          <w:rFonts w:cs="Arial"/>
          <w:color w:val="auto"/>
        </w:rPr>
      </w:pPr>
      <w:r>
        <w:rPr>
          <w:color w:val="auto"/>
        </w:rPr>
        <w:t xml:space="preserve">Luchtbehandelingskast met warmtewisselaar. </w:t>
      </w:r>
      <w:r w:rsidR="00587972" w:rsidRPr="006E4FD7">
        <w:rPr>
          <w:color w:val="auto"/>
        </w:rPr>
        <w:t>Hieraan zijn de volgende technische eisen verbonden: 7</w:t>
      </w:r>
      <w:r w:rsidRPr="006E4FD7">
        <w:rPr>
          <w:color w:val="auto"/>
        </w:rPr>
        <w:t>8</w:t>
      </w:r>
      <w:r w:rsidR="00587972" w:rsidRPr="006E4FD7">
        <w:rPr>
          <w:color w:val="auto"/>
        </w:rPr>
        <w:t xml:space="preserve">% rendement </w:t>
      </w:r>
      <w:proofErr w:type="spellStart"/>
      <w:r w:rsidR="00587972" w:rsidRPr="006E4FD7">
        <w:rPr>
          <w:color w:val="auto"/>
        </w:rPr>
        <w:t>wtw</w:t>
      </w:r>
      <w:proofErr w:type="spellEnd"/>
      <w:r w:rsidR="00587972" w:rsidRPr="006E4FD7">
        <w:rPr>
          <w:color w:val="auto"/>
        </w:rPr>
        <w:t xml:space="preserve">, </w:t>
      </w:r>
      <w:proofErr w:type="spellStart"/>
      <w:r w:rsidR="00587972" w:rsidRPr="006E4FD7">
        <w:rPr>
          <w:color w:val="auto"/>
        </w:rPr>
        <w:t>max</w:t>
      </w:r>
      <w:proofErr w:type="spellEnd"/>
      <w:r w:rsidR="00587972" w:rsidRPr="006E4FD7">
        <w:rPr>
          <w:color w:val="auto"/>
        </w:rPr>
        <w:t xml:space="preserve"> 2</w:t>
      </w:r>
      <w:r w:rsidRPr="006E4FD7">
        <w:rPr>
          <w:color w:val="auto"/>
        </w:rPr>
        <w:t>3</w:t>
      </w:r>
      <w:r w:rsidR="00587972" w:rsidRPr="006E4FD7">
        <w:rPr>
          <w:color w:val="auto"/>
        </w:rPr>
        <w:t xml:space="preserve">0 Pa drukverlies, luchtsnelheid in kast </w:t>
      </w:r>
      <w:proofErr w:type="spellStart"/>
      <w:r w:rsidR="00587972" w:rsidRPr="006E4FD7">
        <w:rPr>
          <w:color w:val="auto"/>
        </w:rPr>
        <w:t>max</w:t>
      </w:r>
      <w:proofErr w:type="spellEnd"/>
      <w:r w:rsidR="00587972" w:rsidRPr="006E4FD7">
        <w:rPr>
          <w:color w:val="auto"/>
        </w:rPr>
        <w:t xml:space="preserve"> 1,</w:t>
      </w:r>
      <w:r w:rsidRPr="006E4FD7">
        <w:rPr>
          <w:color w:val="auto"/>
        </w:rPr>
        <w:t xml:space="preserve">6m/s, </w:t>
      </w:r>
      <w:r w:rsidRPr="006E4FD7">
        <w:rPr>
          <w:rFonts w:cs="Arial"/>
          <w:color w:val="auto"/>
        </w:rPr>
        <w:t xml:space="preserve">ventilatoren rendement minimaal </w:t>
      </w:r>
      <w:proofErr w:type="spellStart"/>
      <w:r w:rsidRPr="006E4FD7">
        <w:rPr>
          <w:rFonts w:cs="Arial"/>
          <w:color w:val="auto"/>
        </w:rPr>
        <w:t>ηdoel</w:t>
      </w:r>
      <w:proofErr w:type="spellEnd"/>
      <w:r w:rsidRPr="006E4FD7">
        <w:rPr>
          <w:rFonts w:cs="Arial"/>
          <w:color w:val="auto"/>
        </w:rPr>
        <w:t xml:space="preserve"> bij efficiëntiegraad 62.</w:t>
      </w:r>
    </w:p>
    <w:p w:rsidR="006E4FD7" w:rsidRDefault="006E4FD7" w:rsidP="00587972">
      <w:pPr>
        <w:rPr>
          <w:color w:val="auto"/>
        </w:rPr>
      </w:pPr>
      <w:r w:rsidRPr="006E4FD7">
        <w:rPr>
          <w:color w:val="auto"/>
        </w:rPr>
        <w:t>Exclusief koelmachine, ketel en kanalen.</w:t>
      </w:r>
    </w:p>
    <w:p w:rsidR="006E4FD7" w:rsidRPr="006E4FD7" w:rsidRDefault="006E4FD7" w:rsidP="00587972">
      <w:pPr>
        <w:rPr>
          <w:color w:val="auto"/>
        </w:rPr>
      </w:pPr>
    </w:p>
    <w:p w:rsidR="006E4FD7" w:rsidRDefault="00587972" w:rsidP="00587972">
      <w:pPr>
        <w:rPr>
          <w:color w:val="auto"/>
          <w:u w:val="single"/>
        </w:rPr>
      </w:pPr>
      <w:r w:rsidRPr="006E4FD7">
        <w:rPr>
          <w:color w:val="auto"/>
          <w:u w:val="single"/>
        </w:rPr>
        <w:t xml:space="preserve">Luchtdicht </w:t>
      </w:r>
      <w:proofErr w:type="spellStart"/>
      <w:r w:rsidRPr="006E4FD7">
        <w:rPr>
          <w:color w:val="auto"/>
          <w:u w:val="single"/>
        </w:rPr>
        <w:t>luchtverdeelsysteem</w:t>
      </w:r>
      <w:proofErr w:type="spellEnd"/>
    </w:p>
    <w:p w:rsidR="00587972" w:rsidRDefault="00587972" w:rsidP="00587972">
      <w:pPr>
        <w:rPr>
          <w:color w:val="auto"/>
        </w:rPr>
      </w:pPr>
      <w:r w:rsidRPr="006E4FD7">
        <w:rPr>
          <w:color w:val="auto"/>
        </w:rPr>
        <w:t xml:space="preserve">Het ventilatiesysteem incl. appendages moet voldoen aan </w:t>
      </w:r>
      <w:proofErr w:type="spellStart"/>
      <w:r w:rsidRPr="006E4FD7">
        <w:rPr>
          <w:color w:val="auto"/>
        </w:rPr>
        <w:t>luchtdichtheidsklasse</w:t>
      </w:r>
      <w:proofErr w:type="spellEnd"/>
      <w:r w:rsidRPr="006E4FD7">
        <w:rPr>
          <w:color w:val="auto"/>
        </w:rPr>
        <w:t xml:space="preserve"> C. Hieronder vallen dan de kosten voor luchtkanalen </w:t>
      </w:r>
      <w:proofErr w:type="spellStart"/>
      <w:r w:rsidRPr="006E4FD7">
        <w:rPr>
          <w:color w:val="auto"/>
        </w:rPr>
        <w:t>i.c.m</w:t>
      </w:r>
      <w:proofErr w:type="spellEnd"/>
      <w:r w:rsidRPr="006E4FD7">
        <w:rPr>
          <w:color w:val="auto"/>
        </w:rPr>
        <w:t xml:space="preserve">. kleppen, geluidsdempers etc. Het maximum bedrag dat in aanmerking komt is </w:t>
      </w:r>
      <w:r w:rsidRPr="006E4FD7">
        <w:rPr>
          <w:b/>
          <w:color w:val="auto"/>
        </w:rPr>
        <w:t>10 €/m² gebruiksoppervlak</w:t>
      </w:r>
      <w:r w:rsidRPr="006E4FD7">
        <w:rPr>
          <w:color w:val="auto"/>
        </w:rPr>
        <w:t xml:space="preserve">. Voor een ventilatorconvector of </w:t>
      </w:r>
      <w:proofErr w:type="spellStart"/>
      <w:r w:rsidRPr="006E4FD7">
        <w:rPr>
          <w:color w:val="auto"/>
        </w:rPr>
        <w:t>fancoilunit</w:t>
      </w:r>
      <w:proofErr w:type="spellEnd"/>
      <w:r w:rsidRPr="006E4FD7">
        <w:rPr>
          <w:color w:val="auto"/>
        </w:rPr>
        <w:t xml:space="preserve"> geldt de </w:t>
      </w:r>
      <w:proofErr w:type="spellStart"/>
      <w:r w:rsidRPr="006E4FD7">
        <w:rPr>
          <w:color w:val="auto"/>
        </w:rPr>
        <w:t>luchtdichtheidseis</w:t>
      </w:r>
      <w:proofErr w:type="spellEnd"/>
      <w:r w:rsidRPr="006E4FD7">
        <w:rPr>
          <w:color w:val="auto"/>
        </w:rPr>
        <w:t xml:space="preserve"> niet. </w:t>
      </w:r>
      <w:hyperlink r:id="rId7" w:history="1">
        <w:r w:rsidRPr="006E4FD7">
          <w:rPr>
            <w:rStyle w:val="Hyperlink"/>
            <w:color w:val="auto"/>
          </w:rPr>
          <w:t>http://www.luka.nl/lar-luka-appendage-register</w:t>
        </w:r>
      </w:hyperlink>
    </w:p>
    <w:p w:rsidR="006E4FD7" w:rsidRPr="006E4FD7" w:rsidRDefault="006E4FD7" w:rsidP="00587972">
      <w:pPr>
        <w:rPr>
          <w:color w:val="auto"/>
        </w:rPr>
      </w:pPr>
    </w:p>
    <w:p w:rsidR="006E4FD7" w:rsidRDefault="00587972" w:rsidP="00587972">
      <w:pPr>
        <w:rPr>
          <w:color w:val="auto"/>
          <w:u w:val="single"/>
        </w:rPr>
      </w:pPr>
      <w:r w:rsidRPr="006E4FD7">
        <w:rPr>
          <w:color w:val="auto"/>
          <w:u w:val="single"/>
        </w:rPr>
        <w:t xml:space="preserve">Warmtepomp </w:t>
      </w:r>
      <w:r w:rsidR="006E4FD7">
        <w:rPr>
          <w:color w:val="auto"/>
          <w:u w:val="single"/>
        </w:rPr>
        <w:t>/ Warmtepomp (</w:t>
      </w:r>
      <w:proofErr w:type="spellStart"/>
      <w:r w:rsidR="006E4FD7">
        <w:rPr>
          <w:color w:val="auto"/>
          <w:u w:val="single"/>
        </w:rPr>
        <w:t>luchtgerelateerd</w:t>
      </w:r>
      <w:proofErr w:type="spellEnd"/>
      <w:r w:rsidR="006E4FD7">
        <w:rPr>
          <w:color w:val="auto"/>
          <w:u w:val="single"/>
        </w:rPr>
        <w:t>)</w:t>
      </w:r>
    </w:p>
    <w:p w:rsidR="00587972" w:rsidRPr="006E4FD7" w:rsidRDefault="00587972" w:rsidP="00587972">
      <w:pPr>
        <w:rPr>
          <w:color w:val="auto"/>
        </w:rPr>
      </w:pPr>
      <w:r w:rsidRPr="006E4FD7">
        <w:rPr>
          <w:color w:val="auto"/>
        </w:rPr>
        <w:t>Komt in aanmerking als de COP of SCOP voldoende hoog is. Deze eis is verschillend afhankelijk van type warmtepomp en de bron (lucht/</w:t>
      </w:r>
      <w:proofErr w:type="spellStart"/>
      <w:r w:rsidRPr="006E4FD7">
        <w:rPr>
          <w:color w:val="auto"/>
        </w:rPr>
        <w:t>brine</w:t>
      </w:r>
      <w:proofErr w:type="spellEnd"/>
      <w:r w:rsidRPr="006E4FD7">
        <w:rPr>
          <w:color w:val="auto"/>
        </w:rPr>
        <w:t>/water combinaties, elektrisch/gas/</w:t>
      </w:r>
      <w:proofErr w:type="spellStart"/>
      <w:r w:rsidRPr="006E4FD7">
        <w:rPr>
          <w:color w:val="auto"/>
        </w:rPr>
        <w:t>ad-absorptie</w:t>
      </w:r>
      <w:proofErr w:type="spellEnd"/>
      <w:r w:rsidRPr="006E4FD7">
        <w:rPr>
          <w:color w:val="auto"/>
        </w:rPr>
        <w:t>)). Als de warmtepomp altijd op basis van koelvraag geregeld wordt komt deze niet in aanmerking.</w:t>
      </w:r>
    </w:p>
    <w:p w:rsidR="00587972" w:rsidRPr="006E4FD7" w:rsidRDefault="00587972" w:rsidP="00587972">
      <w:pPr>
        <w:rPr>
          <w:color w:val="auto"/>
        </w:rPr>
      </w:pPr>
      <w:r w:rsidRPr="006E4FD7">
        <w:rPr>
          <w:color w:val="auto"/>
        </w:rPr>
        <w:t xml:space="preserve">Hierbij komt in aanmerking: warmtepomp, bodemwarmtewisselaar of grondwaterbron, </w:t>
      </w:r>
      <w:proofErr w:type="spellStart"/>
      <w:r w:rsidRPr="006E4FD7">
        <w:rPr>
          <w:color w:val="auto"/>
        </w:rPr>
        <w:t>restwarmteopslagvat</w:t>
      </w:r>
      <w:proofErr w:type="spellEnd"/>
      <w:r w:rsidRPr="006E4FD7">
        <w:rPr>
          <w:color w:val="auto"/>
        </w:rPr>
        <w:t>, (ijs)buffer, aansluiting op het verwarmingsnet, verwarmingsnet.</w:t>
      </w:r>
    </w:p>
    <w:p w:rsidR="00587972" w:rsidRPr="006E4FD7" w:rsidRDefault="00587972" w:rsidP="00587972">
      <w:pPr>
        <w:rPr>
          <w:color w:val="auto"/>
        </w:rPr>
      </w:pPr>
      <w:r w:rsidRPr="006E4FD7">
        <w:rPr>
          <w:color w:val="auto"/>
        </w:rPr>
        <w:t xml:space="preserve">Voor de (aansluiting op) het verwarmingsnet komt </w:t>
      </w:r>
      <w:proofErr w:type="spellStart"/>
      <w:r w:rsidRPr="006E4FD7">
        <w:rPr>
          <w:color w:val="auto"/>
        </w:rPr>
        <w:t>max</w:t>
      </w:r>
      <w:proofErr w:type="spellEnd"/>
      <w:r w:rsidRPr="006E4FD7">
        <w:rPr>
          <w:color w:val="auto"/>
        </w:rPr>
        <w:t xml:space="preserve"> 200 €/kW thermisch vermogen in aanmerking. Luchtkanalen komen niet in aanmerking.</w:t>
      </w:r>
    </w:p>
    <w:tbl>
      <w:tblPr>
        <w:tblStyle w:val="Tabelraster"/>
        <w:tblW w:w="0" w:type="auto"/>
        <w:tblLook w:val="04A0"/>
      </w:tblPr>
      <w:tblGrid>
        <w:gridCol w:w="2577"/>
        <w:gridCol w:w="2217"/>
        <w:gridCol w:w="2089"/>
        <w:gridCol w:w="2405"/>
      </w:tblGrid>
      <w:tr w:rsidR="00587972" w:rsidRPr="006E4FD7" w:rsidTr="008A7E4B">
        <w:tc>
          <w:tcPr>
            <w:tcW w:w="2577" w:type="dxa"/>
          </w:tcPr>
          <w:p w:rsidR="00587972" w:rsidRPr="006E4FD7" w:rsidRDefault="00587972" w:rsidP="00587972">
            <w:pPr>
              <w:rPr>
                <w:color w:val="auto"/>
              </w:rPr>
            </w:pPr>
          </w:p>
        </w:tc>
        <w:tc>
          <w:tcPr>
            <w:tcW w:w="2217" w:type="dxa"/>
          </w:tcPr>
          <w:p w:rsidR="00587972" w:rsidRPr="006E4FD7" w:rsidRDefault="00587972" w:rsidP="00587972">
            <w:pPr>
              <w:rPr>
                <w:color w:val="auto"/>
              </w:rPr>
            </w:pPr>
            <w:r w:rsidRPr="006E4FD7">
              <w:rPr>
                <w:color w:val="auto"/>
              </w:rPr>
              <w:t>Elektrisch</w:t>
            </w:r>
          </w:p>
        </w:tc>
        <w:tc>
          <w:tcPr>
            <w:tcW w:w="2089" w:type="dxa"/>
          </w:tcPr>
          <w:p w:rsidR="00587972" w:rsidRPr="006E4FD7" w:rsidRDefault="00587972" w:rsidP="00587972">
            <w:pPr>
              <w:rPr>
                <w:color w:val="auto"/>
              </w:rPr>
            </w:pPr>
            <w:r w:rsidRPr="006E4FD7">
              <w:rPr>
                <w:color w:val="auto"/>
              </w:rPr>
              <w:t>Gas</w:t>
            </w:r>
          </w:p>
        </w:tc>
        <w:tc>
          <w:tcPr>
            <w:tcW w:w="2405" w:type="dxa"/>
          </w:tcPr>
          <w:p w:rsidR="00587972" w:rsidRPr="006E4FD7" w:rsidRDefault="00587972" w:rsidP="00587972">
            <w:pPr>
              <w:rPr>
                <w:color w:val="auto"/>
              </w:rPr>
            </w:pPr>
            <w:r w:rsidRPr="006E4FD7">
              <w:rPr>
                <w:color w:val="auto"/>
              </w:rPr>
              <w:t>Temperaturen</w:t>
            </w:r>
          </w:p>
        </w:tc>
      </w:tr>
      <w:tr w:rsidR="00587972" w:rsidRPr="006E4FD7" w:rsidTr="008A7E4B">
        <w:tc>
          <w:tcPr>
            <w:tcW w:w="2577" w:type="dxa"/>
          </w:tcPr>
          <w:p w:rsidR="00587972" w:rsidRPr="006E4FD7" w:rsidRDefault="00587972" w:rsidP="00587972">
            <w:pPr>
              <w:rPr>
                <w:color w:val="auto"/>
              </w:rPr>
            </w:pPr>
            <w:proofErr w:type="spellStart"/>
            <w:r w:rsidRPr="006E4FD7">
              <w:rPr>
                <w:color w:val="auto"/>
              </w:rPr>
              <w:t>Brine</w:t>
            </w:r>
            <w:proofErr w:type="spellEnd"/>
            <w:r w:rsidRPr="006E4FD7">
              <w:rPr>
                <w:color w:val="auto"/>
              </w:rPr>
              <w:t>/water</w:t>
            </w:r>
          </w:p>
        </w:tc>
        <w:tc>
          <w:tcPr>
            <w:tcW w:w="2217" w:type="dxa"/>
          </w:tcPr>
          <w:p w:rsidR="00587972" w:rsidRPr="006E4FD7" w:rsidRDefault="00587972" w:rsidP="00587972">
            <w:pPr>
              <w:rPr>
                <w:color w:val="auto"/>
              </w:rPr>
            </w:pPr>
            <w:r w:rsidRPr="006E4FD7">
              <w:rPr>
                <w:color w:val="auto"/>
              </w:rPr>
              <w:t>COP ≥ 4,0</w:t>
            </w:r>
          </w:p>
        </w:tc>
        <w:tc>
          <w:tcPr>
            <w:tcW w:w="2089" w:type="dxa"/>
          </w:tcPr>
          <w:p w:rsidR="00587972" w:rsidRPr="006E4FD7" w:rsidRDefault="00587972" w:rsidP="00587972">
            <w:pPr>
              <w:rPr>
                <w:color w:val="auto"/>
              </w:rPr>
            </w:pPr>
            <w:r w:rsidRPr="006E4FD7">
              <w:rPr>
                <w:color w:val="auto"/>
              </w:rPr>
              <w:t>GUE ≥ 1,6</w:t>
            </w:r>
          </w:p>
        </w:tc>
        <w:tc>
          <w:tcPr>
            <w:tcW w:w="2405" w:type="dxa"/>
          </w:tcPr>
          <w:p w:rsidR="00587972" w:rsidRPr="006E4FD7" w:rsidRDefault="00587972" w:rsidP="00587972">
            <w:pPr>
              <w:rPr>
                <w:color w:val="auto"/>
              </w:rPr>
            </w:pPr>
            <w:r w:rsidRPr="006E4FD7">
              <w:rPr>
                <w:color w:val="auto"/>
              </w:rPr>
              <w:t>B0/W35</w:t>
            </w:r>
          </w:p>
        </w:tc>
      </w:tr>
      <w:tr w:rsidR="00587972" w:rsidRPr="006E4FD7" w:rsidTr="008A7E4B">
        <w:tc>
          <w:tcPr>
            <w:tcW w:w="2577" w:type="dxa"/>
          </w:tcPr>
          <w:p w:rsidR="00587972" w:rsidRPr="006E4FD7" w:rsidRDefault="00587972" w:rsidP="00587972">
            <w:pPr>
              <w:rPr>
                <w:color w:val="auto"/>
              </w:rPr>
            </w:pPr>
            <w:r w:rsidRPr="006E4FD7">
              <w:rPr>
                <w:color w:val="auto"/>
              </w:rPr>
              <w:t>DX bodem</w:t>
            </w:r>
          </w:p>
        </w:tc>
        <w:tc>
          <w:tcPr>
            <w:tcW w:w="2217" w:type="dxa"/>
          </w:tcPr>
          <w:p w:rsidR="00587972" w:rsidRPr="006E4FD7" w:rsidRDefault="00587972" w:rsidP="00587972">
            <w:pPr>
              <w:rPr>
                <w:color w:val="auto"/>
              </w:rPr>
            </w:pPr>
            <w:r w:rsidRPr="006E4FD7">
              <w:rPr>
                <w:color w:val="auto"/>
              </w:rPr>
              <w:t>COP ≥ 4,5</w:t>
            </w:r>
          </w:p>
        </w:tc>
        <w:tc>
          <w:tcPr>
            <w:tcW w:w="2089" w:type="dxa"/>
          </w:tcPr>
          <w:p w:rsidR="00587972" w:rsidRPr="006E4FD7" w:rsidRDefault="00587972" w:rsidP="00587972">
            <w:pPr>
              <w:rPr>
                <w:color w:val="auto"/>
              </w:rPr>
            </w:pPr>
          </w:p>
        </w:tc>
        <w:tc>
          <w:tcPr>
            <w:tcW w:w="2405" w:type="dxa"/>
          </w:tcPr>
          <w:p w:rsidR="00587972" w:rsidRPr="006E4FD7" w:rsidRDefault="00587972" w:rsidP="00587972">
            <w:pPr>
              <w:rPr>
                <w:color w:val="auto"/>
              </w:rPr>
            </w:pPr>
            <w:r w:rsidRPr="006E4FD7">
              <w:rPr>
                <w:color w:val="auto"/>
              </w:rPr>
              <w:t xml:space="preserve"> E4/W35</w:t>
            </w:r>
          </w:p>
        </w:tc>
      </w:tr>
      <w:tr w:rsidR="00587972" w:rsidRPr="006E4FD7" w:rsidTr="008A7E4B">
        <w:tc>
          <w:tcPr>
            <w:tcW w:w="2577" w:type="dxa"/>
          </w:tcPr>
          <w:p w:rsidR="00587972" w:rsidRPr="006E4FD7" w:rsidRDefault="00587972" w:rsidP="00587972">
            <w:pPr>
              <w:rPr>
                <w:color w:val="auto"/>
              </w:rPr>
            </w:pPr>
            <w:r w:rsidRPr="006E4FD7">
              <w:rPr>
                <w:color w:val="auto"/>
              </w:rPr>
              <w:t>Water/water</w:t>
            </w:r>
          </w:p>
        </w:tc>
        <w:tc>
          <w:tcPr>
            <w:tcW w:w="2217" w:type="dxa"/>
          </w:tcPr>
          <w:p w:rsidR="00587972" w:rsidRPr="006E4FD7" w:rsidRDefault="00587972" w:rsidP="00587972">
            <w:pPr>
              <w:rPr>
                <w:color w:val="auto"/>
              </w:rPr>
            </w:pPr>
            <w:r w:rsidRPr="006E4FD7">
              <w:rPr>
                <w:color w:val="auto"/>
              </w:rPr>
              <w:t>COP ≥ 4,5</w:t>
            </w:r>
          </w:p>
        </w:tc>
        <w:tc>
          <w:tcPr>
            <w:tcW w:w="2089" w:type="dxa"/>
          </w:tcPr>
          <w:p w:rsidR="00587972" w:rsidRPr="006E4FD7" w:rsidRDefault="00587972" w:rsidP="00587972">
            <w:pPr>
              <w:rPr>
                <w:color w:val="auto"/>
              </w:rPr>
            </w:pPr>
            <w:r w:rsidRPr="006E4FD7">
              <w:rPr>
                <w:color w:val="auto"/>
              </w:rPr>
              <w:t>GUE ≥ 1,8</w:t>
            </w:r>
          </w:p>
        </w:tc>
        <w:tc>
          <w:tcPr>
            <w:tcW w:w="2405" w:type="dxa"/>
          </w:tcPr>
          <w:p w:rsidR="00587972" w:rsidRPr="006E4FD7" w:rsidRDefault="00587972" w:rsidP="00587972">
            <w:pPr>
              <w:rPr>
                <w:color w:val="auto"/>
              </w:rPr>
            </w:pPr>
            <w:r w:rsidRPr="006E4FD7">
              <w:rPr>
                <w:color w:val="auto"/>
              </w:rPr>
              <w:t xml:space="preserve"> W10/W35</w:t>
            </w:r>
          </w:p>
        </w:tc>
      </w:tr>
      <w:tr w:rsidR="00587972" w:rsidRPr="006E4FD7" w:rsidTr="008A7E4B">
        <w:tc>
          <w:tcPr>
            <w:tcW w:w="2577" w:type="dxa"/>
          </w:tcPr>
          <w:p w:rsidR="00587972" w:rsidRPr="006E4FD7" w:rsidRDefault="00587972" w:rsidP="00587972">
            <w:pPr>
              <w:rPr>
                <w:color w:val="auto"/>
              </w:rPr>
            </w:pPr>
            <w:proofErr w:type="spellStart"/>
            <w:r w:rsidRPr="006E4FD7">
              <w:rPr>
                <w:color w:val="auto"/>
              </w:rPr>
              <w:t>Brine</w:t>
            </w:r>
            <w:proofErr w:type="spellEnd"/>
            <w:r w:rsidRPr="006E4FD7">
              <w:rPr>
                <w:color w:val="auto"/>
              </w:rPr>
              <w:t>/lucht</w:t>
            </w:r>
          </w:p>
        </w:tc>
        <w:tc>
          <w:tcPr>
            <w:tcW w:w="2217" w:type="dxa"/>
          </w:tcPr>
          <w:p w:rsidR="00587972" w:rsidRPr="006E4FD7" w:rsidRDefault="00587972" w:rsidP="00587972">
            <w:pPr>
              <w:rPr>
                <w:color w:val="auto"/>
              </w:rPr>
            </w:pPr>
            <w:r w:rsidRPr="006E4FD7">
              <w:rPr>
                <w:color w:val="auto"/>
              </w:rPr>
              <w:t>COP ≥ 3,0</w:t>
            </w:r>
          </w:p>
        </w:tc>
        <w:tc>
          <w:tcPr>
            <w:tcW w:w="2089" w:type="dxa"/>
          </w:tcPr>
          <w:p w:rsidR="00587972" w:rsidRPr="006E4FD7" w:rsidRDefault="00587972" w:rsidP="00587972">
            <w:pPr>
              <w:rPr>
                <w:color w:val="auto"/>
              </w:rPr>
            </w:pPr>
            <w:r w:rsidRPr="006E4FD7">
              <w:rPr>
                <w:color w:val="auto"/>
              </w:rPr>
              <w:t>GUE ≥ 1,2</w:t>
            </w:r>
          </w:p>
        </w:tc>
        <w:tc>
          <w:tcPr>
            <w:tcW w:w="2405" w:type="dxa"/>
          </w:tcPr>
          <w:p w:rsidR="00587972" w:rsidRPr="006E4FD7" w:rsidRDefault="00587972" w:rsidP="00587972">
            <w:pPr>
              <w:rPr>
                <w:color w:val="auto"/>
              </w:rPr>
            </w:pPr>
            <w:r w:rsidRPr="006E4FD7">
              <w:rPr>
                <w:color w:val="auto"/>
              </w:rPr>
              <w:t xml:space="preserve"> B0/A20 of W10/A20</w:t>
            </w:r>
          </w:p>
        </w:tc>
      </w:tr>
      <w:tr w:rsidR="00587972" w:rsidRPr="006E4FD7" w:rsidTr="008A7E4B">
        <w:tc>
          <w:tcPr>
            <w:tcW w:w="2577" w:type="dxa"/>
            <w:vMerge w:val="restart"/>
          </w:tcPr>
          <w:p w:rsidR="00587972" w:rsidRPr="006E4FD7" w:rsidRDefault="00587972" w:rsidP="00587972">
            <w:pPr>
              <w:rPr>
                <w:color w:val="auto"/>
              </w:rPr>
            </w:pPr>
            <w:r w:rsidRPr="006E4FD7">
              <w:rPr>
                <w:color w:val="auto"/>
              </w:rPr>
              <w:t>Water/lucht</w:t>
            </w:r>
          </w:p>
        </w:tc>
        <w:tc>
          <w:tcPr>
            <w:tcW w:w="2217" w:type="dxa"/>
          </w:tcPr>
          <w:p w:rsidR="00587972" w:rsidRPr="006E4FD7" w:rsidRDefault="00587972" w:rsidP="00587972">
            <w:pPr>
              <w:rPr>
                <w:color w:val="auto"/>
              </w:rPr>
            </w:pPr>
            <w:r w:rsidRPr="006E4FD7">
              <w:rPr>
                <w:color w:val="auto"/>
              </w:rPr>
              <w:t>COP ≥ 4,5</w:t>
            </w:r>
          </w:p>
        </w:tc>
        <w:tc>
          <w:tcPr>
            <w:tcW w:w="2089" w:type="dxa"/>
          </w:tcPr>
          <w:p w:rsidR="00587972" w:rsidRPr="006E4FD7" w:rsidRDefault="00587972" w:rsidP="00587972">
            <w:pPr>
              <w:rPr>
                <w:color w:val="auto"/>
              </w:rPr>
            </w:pPr>
            <w:r w:rsidRPr="006E4FD7">
              <w:rPr>
                <w:color w:val="auto"/>
              </w:rPr>
              <w:t>GUE ≥ 1,8</w:t>
            </w:r>
          </w:p>
        </w:tc>
        <w:tc>
          <w:tcPr>
            <w:tcW w:w="2405" w:type="dxa"/>
          </w:tcPr>
          <w:p w:rsidR="00587972" w:rsidRPr="006E4FD7" w:rsidRDefault="00587972" w:rsidP="00587972">
            <w:pPr>
              <w:rPr>
                <w:color w:val="auto"/>
              </w:rPr>
            </w:pPr>
            <w:r w:rsidRPr="006E4FD7">
              <w:rPr>
                <w:color w:val="auto"/>
              </w:rPr>
              <w:t>W15/A20</w:t>
            </w:r>
          </w:p>
        </w:tc>
      </w:tr>
      <w:tr w:rsidR="00587972" w:rsidRPr="006E4FD7" w:rsidTr="008A7E4B">
        <w:tc>
          <w:tcPr>
            <w:tcW w:w="2577" w:type="dxa"/>
            <w:vMerge/>
          </w:tcPr>
          <w:p w:rsidR="00587972" w:rsidRPr="006E4FD7" w:rsidRDefault="00587972" w:rsidP="00587972">
            <w:pPr>
              <w:rPr>
                <w:color w:val="auto"/>
              </w:rPr>
            </w:pPr>
          </w:p>
        </w:tc>
        <w:tc>
          <w:tcPr>
            <w:tcW w:w="2217" w:type="dxa"/>
          </w:tcPr>
          <w:p w:rsidR="00587972" w:rsidRPr="006E4FD7" w:rsidRDefault="00587972" w:rsidP="00587972">
            <w:pPr>
              <w:rPr>
                <w:color w:val="auto"/>
              </w:rPr>
            </w:pPr>
            <w:proofErr w:type="spellStart"/>
            <w:r w:rsidRPr="006E4FD7">
              <w:rPr>
                <w:color w:val="auto"/>
              </w:rPr>
              <w:t>óf</w:t>
            </w:r>
            <w:proofErr w:type="spellEnd"/>
            <w:r w:rsidRPr="006E4FD7">
              <w:rPr>
                <w:color w:val="auto"/>
              </w:rPr>
              <w:t xml:space="preserve"> COP ≥ 5,0</w:t>
            </w:r>
          </w:p>
        </w:tc>
        <w:tc>
          <w:tcPr>
            <w:tcW w:w="2089" w:type="dxa"/>
          </w:tcPr>
          <w:p w:rsidR="00587972" w:rsidRPr="006E4FD7" w:rsidRDefault="00587972" w:rsidP="00587972">
            <w:pPr>
              <w:rPr>
                <w:color w:val="auto"/>
              </w:rPr>
            </w:pPr>
            <w:r w:rsidRPr="006E4FD7">
              <w:rPr>
                <w:color w:val="auto"/>
              </w:rPr>
              <w:t>GUE ≥ 2,0</w:t>
            </w:r>
          </w:p>
        </w:tc>
        <w:tc>
          <w:tcPr>
            <w:tcW w:w="2405" w:type="dxa"/>
          </w:tcPr>
          <w:p w:rsidR="00587972" w:rsidRPr="006E4FD7" w:rsidRDefault="00587972" w:rsidP="00587972">
            <w:pPr>
              <w:rPr>
                <w:color w:val="auto"/>
              </w:rPr>
            </w:pPr>
            <w:r w:rsidRPr="006E4FD7">
              <w:rPr>
                <w:color w:val="auto"/>
              </w:rPr>
              <w:t>W20/A20</w:t>
            </w:r>
          </w:p>
        </w:tc>
      </w:tr>
      <w:tr w:rsidR="00587972" w:rsidRPr="006E4FD7" w:rsidTr="008A7E4B">
        <w:tc>
          <w:tcPr>
            <w:tcW w:w="2577" w:type="dxa"/>
          </w:tcPr>
          <w:p w:rsidR="00587972" w:rsidRPr="006E4FD7" w:rsidRDefault="00587972" w:rsidP="00587972">
            <w:pPr>
              <w:rPr>
                <w:color w:val="auto"/>
              </w:rPr>
            </w:pPr>
            <w:r w:rsidRPr="006E4FD7">
              <w:rPr>
                <w:color w:val="auto"/>
              </w:rPr>
              <w:t>Lucht/water</w:t>
            </w:r>
          </w:p>
        </w:tc>
        <w:tc>
          <w:tcPr>
            <w:tcW w:w="2217" w:type="dxa"/>
          </w:tcPr>
          <w:p w:rsidR="00587972" w:rsidRPr="006E4FD7" w:rsidRDefault="00587972" w:rsidP="00587972">
            <w:pPr>
              <w:rPr>
                <w:color w:val="auto"/>
              </w:rPr>
            </w:pPr>
            <w:r w:rsidRPr="006E4FD7">
              <w:rPr>
                <w:color w:val="auto"/>
              </w:rPr>
              <w:t>COP ≥ 4,0</w:t>
            </w:r>
          </w:p>
        </w:tc>
        <w:tc>
          <w:tcPr>
            <w:tcW w:w="2089" w:type="dxa"/>
          </w:tcPr>
          <w:p w:rsidR="00587972" w:rsidRPr="006E4FD7" w:rsidRDefault="00587972" w:rsidP="00587972">
            <w:pPr>
              <w:rPr>
                <w:color w:val="auto"/>
              </w:rPr>
            </w:pPr>
            <w:r w:rsidRPr="006E4FD7">
              <w:rPr>
                <w:color w:val="auto"/>
              </w:rPr>
              <w:t>GUE ≥ 1,6</w:t>
            </w:r>
          </w:p>
        </w:tc>
        <w:tc>
          <w:tcPr>
            <w:tcW w:w="2405" w:type="dxa"/>
          </w:tcPr>
          <w:p w:rsidR="00587972" w:rsidRPr="006E4FD7" w:rsidRDefault="00587972" w:rsidP="00587972">
            <w:pPr>
              <w:rPr>
                <w:color w:val="auto"/>
              </w:rPr>
            </w:pPr>
            <w:r w:rsidRPr="006E4FD7">
              <w:rPr>
                <w:color w:val="auto"/>
              </w:rPr>
              <w:t>A7/W35</w:t>
            </w:r>
          </w:p>
        </w:tc>
      </w:tr>
      <w:tr w:rsidR="00587972" w:rsidRPr="006E4FD7" w:rsidTr="008A7E4B">
        <w:tc>
          <w:tcPr>
            <w:tcW w:w="2577" w:type="dxa"/>
          </w:tcPr>
          <w:p w:rsidR="00587972" w:rsidRPr="006E4FD7" w:rsidRDefault="00587972" w:rsidP="00587972">
            <w:pPr>
              <w:rPr>
                <w:color w:val="auto"/>
              </w:rPr>
            </w:pPr>
            <w:r w:rsidRPr="006E4FD7">
              <w:rPr>
                <w:color w:val="auto"/>
              </w:rPr>
              <w:t>Lucht/water en lucht (gecombineerd)</w:t>
            </w:r>
          </w:p>
        </w:tc>
        <w:tc>
          <w:tcPr>
            <w:tcW w:w="2217" w:type="dxa"/>
          </w:tcPr>
          <w:p w:rsidR="00587972" w:rsidRPr="006E4FD7" w:rsidRDefault="00587972" w:rsidP="00587972">
            <w:pPr>
              <w:rPr>
                <w:color w:val="auto"/>
              </w:rPr>
            </w:pPr>
            <w:r w:rsidRPr="006E4FD7">
              <w:rPr>
                <w:color w:val="auto"/>
              </w:rPr>
              <w:t>COP ≥ 4,0</w:t>
            </w:r>
          </w:p>
        </w:tc>
        <w:tc>
          <w:tcPr>
            <w:tcW w:w="2089" w:type="dxa"/>
          </w:tcPr>
          <w:p w:rsidR="00587972" w:rsidRPr="006E4FD7" w:rsidRDefault="00587972" w:rsidP="00587972">
            <w:pPr>
              <w:rPr>
                <w:color w:val="auto"/>
              </w:rPr>
            </w:pPr>
            <w:r w:rsidRPr="006E4FD7">
              <w:rPr>
                <w:color w:val="auto"/>
              </w:rPr>
              <w:t>GUE ≥ 1,6</w:t>
            </w:r>
          </w:p>
        </w:tc>
        <w:tc>
          <w:tcPr>
            <w:tcW w:w="2405" w:type="dxa"/>
          </w:tcPr>
          <w:p w:rsidR="00587972" w:rsidRPr="006E4FD7" w:rsidRDefault="00587972" w:rsidP="00587972">
            <w:pPr>
              <w:rPr>
                <w:color w:val="auto"/>
              </w:rPr>
            </w:pPr>
            <w:r w:rsidRPr="006E4FD7">
              <w:rPr>
                <w:color w:val="auto"/>
              </w:rPr>
              <w:t>A7/W35</w:t>
            </w:r>
          </w:p>
        </w:tc>
      </w:tr>
      <w:tr w:rsidR="00587972" w:rsidRPr="006E4FD7" w:rsidTr="008A7E4B">
        <w:tc>
          <w:tcPr>
            <w:tcW w:w="2577" w:type="dxa"/>
          </w:tcPr>
          <w:p w:rsidR="00587972" w:rsidRPr="006E4FD7" w:rsidRDefault="00587972" w:rsidP="00587972">
            <w:pPr>
              <w:rPr>
                <w:color w:val="auto"/>
              </w:rPr>
            </w:pPr>
            <w:r w:rsidRPr="006E4FD7">
              <w:rPr>
                <w:color w:val="auto"/>
              </w:rPr>
              <w:t>Lucht/lucht</w:t>
            </w:r>
          </w:p>
        </w:tc>
        <w:tc>
          <w:tcPr>
            <w:tcW w:w="2217" w:type="dxa"/>
          </w:tcPr>
          <w:p w:rsidR="00587972" w:rsidRPr="006E4FD7" w:rsidRDefault="00587972" w:rsidP="00587972">
            <w:pPr>
              <w:rPr>
                <w:color w:val="auto"/>
              </w:rPr>
            </w:pPr>
            <w:r w:rsidRPr="006E4FD7">
              <w:rPr>
                <w:color w:val="auto"/>
              </w:rPr>
              <w:t>COP ≥ 4,0</w:t>
            </w:r>
          </w:p>
        </w:tc>
        <w:tc>
          <w:tcPr>
            <w:tcW w:w="2089" w:type="dxa"/>
          </w:tcPr>
          <w:p w:rsidR="00587972" w:rsidRPr="006E4FD7" w:rsidRDefault="00587972" w:rsidP="00587972">
            <w:pPr>
              <w:rPr>
                <w:color w:val="auto"/>
              </w:rPr>
            </w:pPr>
            <w:r w:rsidRPr="006E4FD7">
              <w:rPr>
                <w:color w:val="auto"/>
              </w:rPr>
              <w:t>GUE ≥ 1,6</w:t>
            </w:r>
          </w:p>
        </w:tc>
        <w:tc>
          <w:tcPr>
            <w:tcW w:w="2405" w:type="dxa"/>
          </w:tcPr>
          <w:p w:rsidR="00587972" w:rsidRPr="006E4FD7" w:rsidRDefault="00587972" w:rsidP="00587972">
            <w:pPr>
              <w:rPr>
                <w:color w:val="auto"/>
              </w:rPr>
            </w:pPr>
            <w:r w:rsidRPr="006E4FD7">
              <w:rPr>
                <w:color w:val="auto"/>
              </w:rPr>
              <w:t>A7/A20</w:t>
            </w:r>
          </w:p>
        </w:tc>
      </w:tr>
    </w:tbl>
    <w:p w:rsidR="00587972" w:rsidRPr="006E4FD7" w:rsidRDefault="00587972" w:rsidP="00587972">
      <w:pPr>
        <w:rPr>
          <w:color w:val="auto"/>
        </w:rPr>
      </w:pPr>
      <w:r w:rsidRPr="006E4FD7">
        <w:rPr>
          <w:color w:val="auto"/>
        </w:rPr>
        <w:t>Of bovenstaande COP eisen voor de SCOP bij stookseizoen ‘A’ = average</w:t>
      </w:r>
    </w:p>
    <w:p w:rsidR="00587972" w:rsidRDefault="00587972" w:rsidP="00587972">
      <w:pPr>
        <w:rPr>
          <w:color w:val="auto"/>
        </w:rPr>
      </w:pPr>
      <w:r w:rsidRPr="006E4FD7">
        <w:rPr>
          <w:color w:val="auto"/>
        </w:rPr>
        <w:t>Voor een VRV systeem moet de COP ≥ 4,0 liggen. Deze eis geldt voor het volledige systeem, dus buiten+binnenunits tezamen, gelijktijdigheid 100%.</w:t>
      </w:r>
    </w:p>
    <w:p w:rsidR="006E4FD7" w:rsidRPr="006E4FD7" w:rsidRDefault="006E4FD7" w:rsidP="00587972">
      <w:pPr>
        <w:rPr>
          <w:color w:val="auto"/>
        </w:rPr>
      </w:pPr>
    </w:p>
    <w:p w:rsidR="006E4FD7" w:rsidRPr="00B34ADF" w:rsidRDefault="00587972" w:rsidP="00587972">
      <w:pPr>
        <w:rPr>
          <w:color w:val="auto"/>
          <w:u w:val="single"/>
        </w:rPr>
      </w:pPr>
      <w:r w:rsidRPr="00B34ADF">
        <w:rPr>
          <w:color w:val="auto"/>
          <w:u w:val="single"/>
        </w:rPr>
        <w:t>Warmtekrachtinstallatie met behulp van een zuigermotor</w:t>
      </w:r>
    </w:p>
    <w:p w:rsidR="00587972" w:rsidRPr="00B34ADF" w:rsidRDefault="00587972" w:rsidP="00587972">
      <w:pPr>
        <w:rPr>
          <w:color w:val="auto"/>
        </w:rPr>
      </w:pPr>
      <w:r w:rsidRPr="00B34ADF">
        <w:rPr>
          <w:color w:val="auto"/>
        </w:rPr>
        <w:t xml:space="preserve">Kosten voor de WKK + de aansluiting op het elektriciteitsnet. Het maximum bedrag dat in aanmerking komt is </w:t>
      </w:r>
      <w:r w:rsidRPr="00B34ADF">
        <w:rPr>
          <w:b/>
          <w:color w:val="auto"/>
        </w:rPr>
        <w:t>600 €/</w:t>
      </w:r>
      <w:proofErr w:type="spellStart"/>
      <w:r w:rsidRPr="00B34ADF">
        <w:rPr>
          <w:b/>
          <w:color w:val="auto"/>
        </w:rPr>
        <w:t>kWe</w:t>
      </w:r>
      <w:proofErr w:type="spellEnd"/>
      <w:r w:rsidRPr="00B34ADF">
        <w:rPr>
          <w:color w:val="auto"/>
        </w:rPr>
        <w:t xml:space="preserve"> (bij </w:t>
      </w:r>
      <w:proofErr w:type="spellStart"/>
      <w:r w:rsidRPr="00B34ADF">
        <w:rPr>
          <w:color w:val="auto"/>
        </w:rPr>
        <w:t>WKK’s</w:t>
      </w:r>
      <w:proofErr w:type="spellEnd"/>
      <w:r w:rsidRPr="00B34ADF">
        <w:rPr>
          <w:color w:val="auto"/>
        </w:rPr>
        <w:t xml:space="preserve"> met 60 tot 1.000 kW elektrisch vermogen). (voor 0-60 </w:t>
      </w:r>
      <w:proofErr w:type="spellStart"/>
      <w:r w:rsidRPr="00B34ADF">
        <w:rPr>
          <w:color w:val="auto"/>
        </w:rPr>
        <w:t>kWe</w:t>
      </w:r>
      <w:proofErr w:type="spellEnd"/>
      <w:r w:rsidRPr="00B34ADF">
        <w:rPr>
          <w:color w:val="auto"/>
        </w:rPr>
        <w:t xml:space="preserve"> 1.500 €/</w:t>
      </w:r>
      <w:proofErr w:type="spellStart"/>
      <w:r w:rsidRPr="00B34ADF">
        <w:rPr>
          <w:color w:val="auto"/>
        </w:rPr>
        <w:t>kWe</w:t>
      </w:r>
      <w:proofErr w:type="spellEnd"/>
      <w:r w:rsidRPr="00B34ADF">
        <w:rPr>
          <w:color w:val="auto"/>
        </w:rPr>
        <w:t xml:space="preserve">, en bij &gt;1.000 </w:t>
      </w:r>
      <w:proofErr w:type="spellStart"/>
      <w:r w:rsidRPr="00B34ADF">
        <w:rPr>
          <w:color w:val="auto"/>
        </w:rPr>
        <w:t>kWe</w:t>
      </w:r>
      <w:proofErr w:type="spellEnd"/>
      <w:r w:rsidRPr="00B34ADF">
        <w:rPr>
          <w:color w:val="auto"/>
        </w:rPr>
        <w:t xml:space="preserve"> 350 €/</w:t>
      </w:r>
      <w:proofErr w:type="spellStart"/>
      <w:r w:rsidRPr="00B34ADF">
        <w:rPr>
          <w:color w:val="auto"/>
        </w:rPr>
        <w:t>kWe</w:t>
      </w:r>
      <w:proofErr w:type="spellEnd"/>
      <w:r w:rsidRPr="00B34ADF">
        <w:rPr>
          <w:color w:val="auto"/>
        </w:rPr>
        <w:t>.)</w:t>
      </w:r>
    </w:p>
    <w:p w:rsidR="006E4FD7" w:rsidRPr="00B34ADF" w:rsidRDefault="006E4FD7" w:rsidP="00587972">
      <w:pPr>
        <w:rPr>
          <w:color w:val="auto"/>
        </w:rPr>
      </w:pPr>
    </w:p>
    <w:p w:rsidR="006E4FD7" w:rsidRPr="00B34ADF" w:rsidRDefault="00587972" w:rsidP="00587972">
      <w:pPr>
        <w:rPr>
          <w:color w:val="auto"/>
          <w:u w:val="single"/>
        </w:rPr>
      </w:pPr>
      <w:r w:rsidRPr="00B34ADF">
        <w:rPr>
          <w:color w:val="auto"/>
          <w:u w:val="single"/>
        </w:rPr>
        <w:lastRenderedPageBreak/>
        <w:t>HR Pomp</w:t>
      </w:r>
    </w:p>
    <w:p w:rsidR="00587972" w:rsidRPr="00B34ADF" w:rsidRDefault="00587972" w:rsidP="00587972">
      <w:pPr>
        <w:rPr>
          <w:color w:val="auto"/>
        </w:rPr>
      </w:pPr>
      <w:proofErr w:type="spellStart"/>
      <w:r w:rsidRPr="00B34ADF">
        <w:rPr>
          <w:color w:val="auto"/>
        </w:rPr>
        <w:t>Stand-alone</w:t>
      </w:r>
      <w:proofErr w:type="spellEnd"/>
      <w:r w:rsidRPr="00B34ADF">
        <w:rPr>
          <w:color w:val="auto"/>
        </w:rPr>
        <w:t xml:space="preserve"> natloper circulatiepomp tot 2.500 W. Eis is een EEI &lt;0,23 gemeten conform de methode zoals weergegeven in bijlage II van de Verordening (EG) Nr. 641/2009 van de Commissie, geïntegreerde toerenregeling.</w:t>
      </w:r>
    </w:p>
    <w:p w:rsidR="00587972" w:rsidRPr="00B34ADF" w:rsidRDefault="00587972" w:rsidP="00587972">
      <w:pPr>
        <w:rPr>
          <w:color w:val="auto"/>
        </w:rPr>
      </w:pPr>
      <w:proofErr w:type="spellStart"/>
      <w:r w:rsidRPr="00B34ADF">
        <w:rPr>
          <w:color w:val="auto"/>
        </w:rPr>
        <w:t>Stand-alone</w:t>
      </w:r>
      <w:proofErr w:type="spellEnd"/>
      <w:r w:rsidRPr="00B34ADF">
        <w:rPr>
          <w:color w:val="auto"/>
        </w:rPr>
        <w:t xml:space="preserve"> </w:t>
      </w:r>
      <w:proofErr w:type="spellStart"/>
      <w:r w:rsidRPr="00B34ADF">
        <w:rPr>
          <w:color w:val="auto"/>
        </w:rPr>
        <w:t>inline</w:t>
      </w:r>
      <w:proofErr w:type="spellEnd"/>
      <w:r w:rsidRPr="00B34ADF">
        <w:rPr>
          <w:color w:val="auto"/>
        </w:rPr>
        <w:t xml:space="preserve"> droogloper circulatiepomp voorzien van een elektromotor die voldoet aan de IE3 </w:t>
      </w:r>
      <w:proofErr w:type="spellStart"/>
      <w:r w:rsidRPr="00B34ADF">
        <w:rPr>
          <w:color w:val="auto"/>
        </w:rPr>
        <w:t>efficiency-klasse</w:t>
      </w:r>
      <w:proofErr w:type="spellEnd"/>
      <w:r w:rsidRPr="00B34ADF">
        <w:rPr>
          <w:color w:val="auto"/>
        </w:rPr>
        <w:t xml:space="preserve"> conform IEC 60034-30:2014 of een EC elektromotor (gelijkstroommotor met permanentmagneet), geïntegreerde toerenregeling.</w:t>
      </w:r>
    </w:p>
    <w:p w:rsidR="006E4FD7" w:rsidRPr="00B34ADF" w:rsidRDefault="006E4FD7" w:rsidP="00587972">
      <w:pPr>
        <w:rPr>
          <w:color w:val="auto"/>
        </w:rPr>
      </w:pPr>
    </w:p>
    <w:p w:rsidR="006E4FD7" w:rsidRPr="00525815" w:rsidRDefault="00525815" w:rsidP="00587972">
      <w:pPr>
        <w:rPr>
          <w:color w:val="auto"/>
          <w:u w:val="single"/>
        </w:rPr>
      </w:pPr>
      <w:r w:rsidRPr="00525815">
        <w:rPr>
          <w:color w:val="auto"/>
          <w:u w:val="single"/>
        </w:rPr>
        <w:t>Regeling</w:t>
      </w:r>
      <w:r w:rsidR="00587972" w:rsidRPr="00525815">
        <w:rPr>
          <w:color w:val="auto"/>
          <w:u w:val="single"/>
        </w:rPr>
        <w:t xml:space="preserve"> klimaat</w:t>
      </w:r>
      <w:r w:rsidRPr="00525815">
        <w:rPr>
          <w:color w:val="auto"/>
          <w:u w:val="single"/>
        </w:rPr>
        <w:t>installatie</w:t>
      </w:r>
    </w:p>
    <w:p w:rsidR="00525815" w:rsidRDefault="00525815" w:rsidP="00525815">
      <w:pPr>
        <w:rPr>
          <w:color w:val="auto"/>
        </w:rPr>
      </w:pPr>
      <w:r>
        <w:rPr>
          <w:color w:val="auto"/>
        </w:rPr>
        <w:t>Op basis van aan</w:t>
      </w:r>
      <w:r w:rsidR="004B752F">
        <w:rPr>
          <w:color w:val="auto"/>
        </w:rPr>
        <w:t xml:space="preserve">- of </w:t>
      </w:r>
      <w:proofErr w:type="spellStart"/>
      <w:r w:rsidR="006D5724">
        <w:rPr>
          <w:color w:val="auto"/>
        </w:rPr>
        <w:t>af</w:t>
      </w:r>
      <w:r>
        <w:rPr>
          <w:color w:val="auto"/>
        </w:rPr>
        <w:t>wezigheidsdetectie</w:t>
      </w:r>
      <w:proofErr w:type="spellEnd"/>
      <w:r>
        <w:rPr>
          <w:color w:val="auto"/>
        </w:rPr>
        <w:t>. Bestaande uit (</w:t>
      </w:r>
      <w:proofErr w:type="spellStart"/>
      <w:r>
        <w:rPr>
          <w:color w:val="auto"/>
        </w:rPr>
        <w:t>bewegings</w:t>
      </w:r>
      <w:proofErr w:type="spellEnd"/>
      <w:r>
        <w:rPr>
          <w:color w:val="auto"/>
        </w:rPr>
        <w:t>)sensoren met individuele ruimteregelaar.</w:t>
      </w:r>
    </w:p>
    <w:p w:rsidR="00525815" w:rsidRPr="00525815" w:rsidRDefault="00525815" w:rsidP="00525815">
      <w:pPr>
        <w:rPr>
          <w:color w:val="auto"/>
        </w:rPr>
      </w:pPr>
    </w:p>
    <w:p w:rsidR="00525815" w:rsidRPr="00525815" w:rsidRDefault="00525815" w:rsidP="00525815">
      <w:pPr>
        <w:rPr>
          <w:color w:val="auto"/>
          <w:u w:val="single"/>
        </w:rPr>
      </w:pPr>
      <w:r w:rsidRPr="00525815">
        <w:rPr>
          <w:color w:val="auto"/>
          <w:u w:val="single"/>
        </w:rPr>
        <w:t>Regeling verlichting</w:t>
      </w:r>
    </w:p>
    <w:p w:rsidR="00525815" w:rsidRPr="00525815" w:rsidRDefault="00525815" w:rsidP="00525815">
      <w:pPr>
        <w:rPr>
          <w:color w:val="auto"/>
        </w:rPr>
      </w:pPr>
      <w:r w:rsidRPr="00525815">
        <w:rPr>
          <w:color w:val="auto"/>
        </w:rPr>
        <w:t>Alleen voor bestaand</w:t>
      </w:r>
      <w:r>
        <w:rPr>
          <w:color w:val="auto"/>
        </w:rPr>
        <w:t>e bouw</w:t>
      </w:r>
      <w:r w:rsidRPr="00525815">
        <w:rPr>
          <w:color w:val="auto"/>
        </w:rPr>
        <w:t xml:space="preserve">, of </w:t>
      </w:r>
      <w:r>
        <w:rPr>
          <w:color w:val="auto"/>
        </w:rPr>
        <w:t>in combinatie met</w:t>
      </w:r>
      <w:r w:rsidRPr="00525815">
        <w:rPr>
          <w:color w:val="auto"/>
        </w:rPr>
        <w:t xml:space="preserve"> LED armaturen. Op basis van daglicht, of aan/afwezigheid, of veegpuls.</w:t>
      </w:r>
    </w:p>
    <w:p w:rsidR="00525815" w:rsidRPr="00525815" w:rsidRDefault="00525815" w:rsidP="00587972">
      <w:pPr>
        <w:rPr>
          <w:color w:val="auto"/>
        </w:rPr>
      </w:pPr>
    </w:p>
    <w:p w:rsidR="006E4FD7" w:rsidRPr="00555AC4" w:rsidRDefault="00587972" w:rsidP="00587972">
      <w:pPr>
        <w:rPr>
          <w:color w:val="auto"/>
          <w:u w:val="single"/>
        </w:rPr>
      </w:pPr>
      <w:r w:rsidRPr="00555AC4">
        <w:rPr>
          <w:color w:val="auto"/>
          <w:u w:val="single"/>
        </w:rPr>
        <w:t>Debietregeling ventilator</w:t>
      </w:r>
    </w:p>
    <w:p w:rsidR="00587972" w:rsidRPr="00555AC4" w:rsidRDefault="00587972" w:rsidP="00587972">
      <w:pPr>
        <w:rPr>
          <w:color w:val="auto"/>
        </w:rPr>
      </w:pPr>
      <w:r w:rsidRPr="00555AC4">
        <w:rPr>
          <w:color w:val="auto"/>
        </w:rPr>
        <w:t>Het automatisch regelen van het ventilatiedebiet. Dit is op v</w:t>
      </w:r>
      <w:r w:rsidR="00555AC4" w:rsidRPr="00555AC4">
        <w:rPr>
          <w:color w:val="auto"/>
        </w:rPr>
        <w:t>erschillende manieren mogelijk.</w:t>
      </w:r>
    </w:p>
    <w:p w:rsidR="00555AC4" w:rsidRDefault="00555AC4" w:rsidP="00555AC4">
      <w:pPr>
        <w:pStyle w:val="Lijstalinea"/>
        <w:numPr>
          <w:ilvl w:val="0"/>
          <w:numId w:val="11"/>
        </w:numPr>
      </w:pPr>
      <w:r>
        <w:t>Toerenregeling geldt alleen voor bestaand. Inclusief sensor, regeling</w:t>
      </w:r>
    </w:p>
    <w:p w:rsidR="00555AC4" w:rsidRDefault="00555AC4" w:rsidP="00555AC4">
      <w:pPr>
        <w:pStyle w:val="Lijstalinea"/>
        <w:numPr>
          <w:ilvl w:val="0"/>
          <w:numId w:val="11"/>
        </w:numPr>
      </w:pPr>
      <w:r>
        <w:t xml:space="preserve">Gelijkstroomventilator kan voor nieuw of bestaande bouw, inclusief sensor, </w:t>
      </w:r>
      <w:r w:rsidRPr="00555AC4">
        <w:rPr>
          <w:color w:val="auto"/>
        </w:rPr>
        <w:t>regeling, stroom/spanning omvormer</w:t>
      </w:r>
    </w:p>
    <w:p w:rsidR="006E4FD7" w:rsidRPr="00555AC4" w:rsidRDefault="006E4FD7" w:rsidP="00587972">
      <w:pPr>
        <w:rPr>
          <w:color w:val="auto"/>
        </w:rPr>
      </w:pPr>
    </w:p>
    <w:p w:rsidR="006E4FD7" w:rsidRPr="00555AC4" w:rsidRDefault="00587972" w:rsidP="00587972">
      <w:pPr>
        <w:rPr>
          <w:color w:val="auto"/>
          <w:u w:val="single"/>
        </w:rPr>
      </w:pPr>
      <w:r w:rsidRPr="00555AC4">
        <w:rPr>
          <w:color w:val="auto"/>
          <w:u w:val="single"/>
        </w:rPr>
        <w:t>Warmtewisselaar voor vrije koeling</w:t>
      </w:r>
    </w:p>
    <w:p w:rsidR="00587972" w:rsidRPr="00555AC4" w:rsidRDefault="00587972" w:rsidP="00587972">
      <w:pPr>
        <w:rPr>
          <w:color w:val="auto"/>
        </w:rPr>
      </w:pPr>
      <w:r w:rsidRPr="00555AC4">
        <w:rPr>
          <w:color w:val="auto"/>
        </w:rPr>
        <w:t xml:space="preserve">Verminderen van energieverbruik van de koelmachine door koelen met buitenlucht of oppervlaktewater. Kan ook voor regeneratie van </w:t>
      </w:r>
      <w:proofErr w:type="spellStart"/>
      <w:r w:rsidRPr="00555AC4">
        <w:rPr>
          <w:color w:val="auto"/>
        </w:rPr>
        <w:t>aquifer</w:t>
      </w:r>
      <w:proofErr w:type="spellEnd"/>
      <w:r w:rsidRPr="00555AC4">
        <w:rPr>
          <w:color w:val="auto"/>
        </w:rPr>
        <w:t xml:space="preserve"> toegepast worden.</w:t>
      </w:r>
    </w:p>
    <w:p w:rsidR="006E4FD7" w:rsidRPr="00587972" w:rsidRDefault="006E4FD7" w:rsidP="00587972">
      <w:pPr>
        <w:rPr>
          <w:color w:val="FF0000"/>
        </w:rPr>
      </w:pPr>
    </w:p>
    <w:p w:rsidR="006E4FD7" w:rsidRPr="003317B5" w:rsidRDefault="003317B5" w:rsidP="00587972">
      <w:pPr>
        <w:rPr>
          <w:color w:val="auto"/>
          <w:u w:val="single"/>
        </w:rPr>
      </w:pPr>
      <w:r>
        <w:rPr>
          <w:color w:val="auto"/>
          <w:u w:val="single"/>
        </w:rPr>
        <w:t>Vrije</w:t>
      </w:r>
      <w:r w:rsidR="00587972" w:rsidRPr="003317B5">
        <w:rPr>
          <w:color w:val="auto"/>
          <w:u w:val="single"/>
        </w:rPr>
        <w:t xml:space="preserve"> koeling van </w:t>
      </w:r>
      <w:proofErr w:type="spellStart"/>
      <w:r w:rsidR="00587972" w:rsidRPr="003317B5">
        <w:rPr>
          <w:color w:val="auto"/>
          <w:u w:val="single"/>
        </w:rPr>
        <w:t>serverruimten</w:t>
      </w:r>
      <w:proofErr w:type="spellEnd"/>
      <w:r w:rsidR="00587972" w:rsidRPr="003317B5">
        <w:rPr>
          <w:color w:val="auto"/>
          <w:u w:val="single"/>
        </w:rPr>
        <w:t xml:space="preserve"> en bestaande datacenters</w:t>
      </w:r>
    </w:p>
    <w:p w:rsidR="00587972" w:rsidRPr="003317B5" w:rsidRDefault="00587972" w:rsidP="00587972">
      <w:pPr>
        <w:rPr>
          <w:color w:val="auto"/>
        </w:rPr>
      </w:pPr>
      <w:r w:rsidRPr="003317B5">
        <w:rPr>
          <w:color w:val="auto"/>
        </w:rPr>
        <w:t xml:space="preserve">Bestemd voor: koeling van </w:t>
      </w:r>
      <w:proofErr w:type="spellStart"/>
      <w:r w:rsidRPr="003317B5">
        <w:rPr>
          <w:color w:val="auto"/>
        </w:rPr>
        <w:t>serverruimten</w:t>
      </w:r>
      <w:proofErr w:type="spellEnd"/>
      <w:r w:rsidRPr="003317B5">
        <w:rPr>
          <w:color w:val="auto"/>
        </w:rPr>
        <w:t xml:space="preserve"> en bestaande datacenters door tot een buitentemperatuur van minimaal 22°C gebruik te maken van 100% vrije koeling en gescheiden warme en koude luchtstromen, en bestaande uit: toerengeregelde ventilator, (eventueel) warmtewisselaar, (eventueel) luchtkanalen, (eventueel) luchtfilter, (eventueel) </w:t>
      </w:r>
      <w:proofErr w:type="spellStart"/>
      <w:r w:rsidRPr="003317B5">
        <w:rPr>
          <w:color w:val="auto"/>
        </w:rPr>
        <w:t>aquifer</w:t>
      </w:r>
      <w:proofErr w:type="spellEnd"/>
      <w:r w:rsidRPr="003317B5">
        <w:rPr>
          <w:color w:val="auto"/>
        </w:rPr>
        <w:t xml:space="preserve">, (eventueel) koudewinning uit natuurlijke koudebronnen, (eventueel) </w:t>
      </w:r>
      <w:proofErr w:type="spellStart"/>
      <w:r w:rsidRPr="003317B5">
        <w:rPr>
          <w:color w:val="auto"/>
        </w:rPr>
        <w:t>adiabatische</w:t>
      </w:r>
      <w:proofErr w:type="spellEnd"/>
      <w:r w:rsidRPr="003317B5">
        <w:rPr>
          <w:color w:val="auto"/>
        </w:rPr>
        <w:t xml:space="preserve"> koeling, (eventueel) gescheiden gangen voor warme en koude luchtstromen.</w:t>
      </w:r>
    </w:p>
    <w:p w:rsidR="006E4FD7" w:rsidRPr="003317B5" w:rsidRDefault="006E4FD7" w:rsidP="00587972">
      <w:pPr>
        <w:rPr>
          <w:color w:val="auto"/>
        </w:rPr>
      </w:pPr>
    </w:p>
    <w:p w:rsidR="006E4FD7" w:rsidRPr="003317B5" w:rsidRDefault="00587972" w:rsidP="00587972">
      <w:pPr>
        <w:rPr>
          <w:color w:val="auto"/>
          <w:u w:val="single"/>
        </w:rPr>
      </w:pPr>
      <w:r w:rsidRPr="003317B5">
        <w:rPr>
          <w:color w:val="auto"/>
          <w:u w:val="single"/>
        </w:rPr>
        <w:t xml:space="preserve">Energiezuinige koeling van </w:t>
      </w:r>
      <w:proofErr w:type="spellStart"/>
      <w:r w:rsidRPr="003317B5">
        <w:rPr>
          <w:color w:val="auto"/>
          <w:u w:val="single"/>
        </w:rPr>
        <w:t>serverruimten</w:t>
      </w:r>
      <w:proofErr w:type="spellEnd"/>
      <w:r w:rsidRPr="003317B5">
        <w:rPr>
          <w:color w:val="auto"/>
          <w:u w:val="single"/>
        </w:rPr>
        <w:t xml:space="preserve"> tot en met 10 </w:t>
      </w:r>
      <w:r w:rsidR="006E4FD7" w:rsidRPr="003317B5">
        <w:rPr>
          <w:color w:val="auto"/>
          <w:u w:val="single"/>
        </w:rPr>
        <w:t>m²</w:t>
      </w:r>
    </w:p>
    <w:p w:rsidR="00587972" w:rsidRPr="003317B5" w:rsidRDefault="00587972" w:rsidP="00587972">
      <w:pPr>
        <w:rPr>
          <w:color w:val="auto"/>
        </w:rPr>
      </w:pPr>
      <w:r w:rsidRPr="003317B5">
        <w:rPr>
          <w:color w:val="auto"/>
        </w:rPr>
        <w:t xml:space="preserve">Bestemd voor: </w:t>
      </w:r>
      <w:proofErr w:type="spellStart"/>
      <w:r w:rsidRPr="003317B5">
        <w:rPr>
          <w:color w:val="auto"/>
        </w:rPr>
        <w:t>rack</w:t>
      </w:r>
      <w:proofErr w:type="spellEnd"/>
      <w:r w:rsidRPr="003317B5">
        <w:rPr>
          <w:color w:val="auto"/>
        </w:rPr>
        <w:t xml:space="preserve">- of rijkoeling in </w:t>
      </w:r>
      <w:proofErr w:type="spellStart"/>
      <w:r w:rsidRPr="003317B5">
        <w:rPr>
          <w:color w:val="auto"/>
        </w:rPr>
        <w:t>serverruimten</w:t>
      </w:r>
      <w:proofErr w:type="spellEnd"/>
      <w:r w:rsidRPr="003317B5">
        <w:rPr>
          <w:color w:val="auto"/>
        </w:rPr>
        <w:t xml:space="preserve"> met een vloeroppervlakte tot en met 10 </w:t>
      </w:r>
      <w:r w:rsidR="00525815">
        <w:rPr>
          <w:color w:val="auto"/>
        </w:rPr>
        <w:t>m²,</w:t>
      </w:r>
      <w:r w:rsidRPr="003317B5">
        <w:rPr>
          <w:color w:val="auto"/>
        </w:rPr>
        <w:t xml:space="preserve"> en bestaande uit: direct expansiesysteem (DX systeem). Het maximumbedrag dat voor Energie-investeringsaftrek in aanmerking komt, is € 15.000 per </w:t>
      </w:r>
      <w:proofErr w:type="spellStart"/>
      <w:r w:rsidRPr="003317B5">
        <w:rPr>
          <w:color w:val="auto"/>
        </w:rPr>
        <w:t>serverruimte</w:t>
      </w:r>
      <w:proofErr w:type="spellEnd"/>
      <w:r w:rsidRPr="003317B5">
        <w:rPr>
          <w:color w:val="auto"/>
        </w:rPr>
        <w:t>.</w:t>
      </w:r>
    </w:p>
    <w:p w:rsidR="006E4FD7" w:rsidRPr="003317B5" w:rsidRDefault="006E4FD7" w:rsidP="00587972">
      <w:pPr>
        <w:rPr>
          <w:color w:val="auto"/>
        </w:rPr>
      </w:pPr>
    </w:p>
    <w:p w:rsidR="00525815" w:rsidRDefault="00525815">
      <w:pPr>
        <w:spacing w:after="200" w:line="276" w:lineRule="auto"/>
        <w:rPr>
          <w:color w:val="auto"/>
          <w:u w:val="single"/>
        </w:rPr>
      </w:pPr>
      <w:r>
        <w:rPr>
          <w:color w:val="auto"/>
          <w:u w:val="single"/>
        </w:rPr>
        <w:br w:type="page"/>
      </w:r>
    </w:p>
    <w:p w:rsidR="006E4FD7" w:rsidRPr="00555AC4" w:rsidRDefault="00587972" w:rsidP="00587972">
      <w:pPr>
        <w:rPr>
          <w:color w:val="auto"/>
          <w:u w:val="single"/>
        </w:rPr>
      </w:pPr>
      <w:r w:rsidRPr="00555AC4">
        <w:rPr>
          <w:color w:val="auto"/>
          <w:u w:val="single"/>
        </w:rPr>
        <w:lastRenderedPageBreak/>
        <w:t>HR ketel</w:t>
      </w:r>
    </w:p>
    <w:p w:rsidR="00587972" w:rsidRPr="00555AC4" w:rsidRDefault="00587972" w:rsidP="00587972">
      <w:pPr>
        <w:rPr>
          <w:color w:val="auto"/>
        </w:rPr>
      </w:pPr>
      <w:r w:rsidRPr="00555AC4">
        <w:rPr>
          <w:color w:val="auto"/>
        </w:rPr>
        <w:t>Alleen als generieke maatregel, wanneer de besparing t.o.v. investering voldoet aan de algemene eis. Ter vervanging van CR / VR ketel kan dit voldoen, maar als huidig al een HR ketel is dan komt de vervanging niet in aanmerking. Dit zal altijd onderbouwd moeten worden aan de hand van energiefacturen.</w:t>
      </w:r>
    </w:p>
    <w:p w:rsidR="006E4FD7" w:rsidRPr="00555AC4" w:rsidRDefault="006E4FD7" w:rsidP="00587972">
      <w:pPr>
        <w:rPr>
          <w:color w:val="auto"/>
          <w:u w:val="single"/>
        </w:rPr>
      </w:pPr>
    </w:p>
    <w:p w:rsidR="006E4FD7" w:rsidRPr="00555AC4" w:rsidRDefault="00587972" w:rsidP="00587972">
      <w:pPr>
        <w:rPr>
          <w:color w:val="auto"/>
          <w:u w:val="single"/>
        </w:rPr>
      </w:pPr>
      <w:r w:rsidRPr="00555AC4">
        <w:rPr>
          <w:color w:val="auto"/>
          <w:u w:val="single"/>
        </w:rPr>
        <w:t xml:space="preserve">HR </w:t>
      </w:r>
      <w:proofErr w:type="spellStart"/>
      <w:r w:rsidRPr="00555AC4">
        <w:rPr>
          <w:color w:val="auto"/>
          <w:u w:val="single"/>
        </w:rPr>
        <w:t>luchtverwarmer</w:t>
      </w:r>
      <w:proofErr w:type="spellEnd"/>
    </w:p>
    <w:p w:rsidR="00587972" w:rsidRPr="00555AC4" w:rsidRDefault="00587972" w:rsidP="00587972">
      <w:pPr>
        <w:rPr>
          <w:color w:val="auto"/>
        </w:rPr>
      </w:pPr>
      <w:r w:rsidRPr="00555AC4">
        <w:rPr>
          <w:color w:val="auto"/>
        </w:rPr>
        <w:t xml:space="preserve">Direct gestookte </w:t>
      </w:r>
      <w:proofErr w:type="spellStart"/>
      <w:r w:rsidRPr="00555AC4">
        <w:rPr>
          <w:color w:val="auto"/>
        </w:rPr>
        <w:t>luchtverwarmer</w:t>
      </w:r>
      <w:proofErr w:type="spellEnd"/>
      <w:r w:rsidRPr="00555AC4">
        <w:rPr>
          <w:color w:val="auto"/>
        </w:rPr>
        <w:t xml:space="preserve"> met een </w:t>
      </w:r>
      <w:proofErr w:type="spellStart"/>
      <w:r w:rsidRPr="00555AC4">
        <w:rPr>
          <w:color w:val="auto"/>
        </w:rPr>
        <w:t>deellastrendement</w:t>
      </w:r>
      <w:proofErr w:type="spellEnd"/>
      <w:r w:rsidRPr="00555AC4">
        <w:rPr>
          <w:color w:val="auto"/>
        </w:rPr>
        <w:t xml:space="preserve"> van ten minste 101%.</w:t>
      </w:r>
    </w:p>
    <w:p w:rsidR="00587972" w:rsidRPr="00555AC4" w:rsidRDefault="00587972" w:rsidP="00587972">
      <w:pPr>
        <w:rPr>
          <w:color w:val="auto"/>
        </w:rPr>
      </w:pPr>
      <w:r w:rsidRPr="00555AC4">
        <w:rPr>
          <w:color w:val="auto"/>
        </w:rPr>
        <w:t xml:space="preserve">Eventueel voor ruimten </w:t>
      </w:r>
      <w:r w:rsidR="00555AC4">
        <w:rPr>
          <w:color w:val="auto"/>
        </w:rPr>
        <w:t xml:space="preserve">met een </w:t>
      </w:r>
      <w:r w:rsidR="00555AC4" w:rsidRPr="00555AC4">
        <w:rPr>
          <w:color w:val="auto"/>
        </w:rPr>
        <w:t>gemiddeld</w:t>
      </w:r>
      <w:r w:rsidR="00555AC4">
        <w:rPr>
          <w:color w:val="auto"/>
        </w:rPr>
        <w:t>e</w:t>
      </w:r>
      <w:r w:rsidR="00555AC4" w:rsidRPr="00555AC4">
        <w:rPr>
          <w:color w:val="auto"/>
        </w:rPr>
        <w:t xml:space="preserve"> ho</w:t>
      </w:r>
      <w:r w:rsidR="00555AC4">
        <w:rPr>
          <w:color w:val="auto"/>
        </w:rPr>
        <w:t>o</w:t>
      </w:r>
      <w:r w:rsidR="00555AC4" w:rsidRPr="00555AC4">
        <w:rPr>
          <w:color w:val="auto"/>
        </w:rPr>
        <w:t>g</w:t>
      </w:r>
      <w:r w:rsidR="00555AC4">
        <w:rPr>
          <w:color w:val="auto"/>
        </w:rPr>
        <w:t>t</w:t>
      </w:r>
      <w:r w:rsidR="00555AC4" w:rsidRPr="00555AC4">
        <w:rPr>
          <w:color w:val="auto"/>
        </w:rPr>
        <w:t>e</w:t>
      </w:r>
      <w:r w:rsidR="00555AC4">
        <w:rPr>
          <w:color w:val="auto"/>
        </w:rPr>
        <w:t xml:space="preserve"> groter</w:t>
      </w:r>
      <w:r w:rsidR="00555AC4" w:rsidRPr="00555AC4">
        <w:rPr>
          <w:color w:val="auto"/>
        </w:rPr>
        <w:t xml:space="preserve"> dan 4 meter </w:t>
      </w:r>
      <w:r w:rsidRPr="00555AC4">
        <w:rPr>
          <w:color w:val="auto"/>
        </w:rPr>
        <w:t xml:space="preserve">inclusief inducerend uitblaassysteem met </w:t>
      </w:r>
      <w:proofErr w:type="spellStart"/>
      <w:r w:rsidRPr="00555AC4">
        <w:rPr>
          <w:color w:val="auto"/>
        </w:rPr>
        <w:t>nozzles</w:t>
      </w:r>
      <w:proofErr w:type="spellEnd"/>
      <w:r w:rsidRPr="00555AC4">
        <w:rPr>
          <w:color w:val="auto"/>
        </w:rPr>
        <w:t xml:space="preserve"> of schoepen, of met individueel </w:t>
      </w:r>
      <w:proofErr w:type="spellStart"/>
      <w:r w:rsidRPr="00555AC4">
        <w:rPr>
          <w:color w:val="auto"/>
        </w:rPr>
        <w:t>thermostatisch</w:t>
      </w:r>
      <w:proofErr w:type="spellEnd"/>
      <w:r w:rsidRPr="00555AC4">
        <w:rPr>
          <w:color w:val="auto"/>
        </w:rPr>
        <w:t xml:space="preserve"> geregelde steunventilator in </w:t>
      </w:r>
      <w:proofErr w:type="spellStart"/>
      <w:r w:rsidRPr="00555AC4">
        <w:rPr>
          <w:color w:val="auto"/>
        </w:rPr>
        <w:t>omkasting</w:t>
      </w:r>
      <w:proofErr w:type="spellEnd"/>
      <w:r w:rsidRPr="00555AC4">
        <w:rPr>
          <w:color w:val="auto"/>
        </w:rPr>
        <w:t xml:space="preserve"> aan het plafond.</w:t>
      </w:r>
    </w:p>
    <w:p w:rsidR="006E4FD7" w:rsidRPr="00555AC4" w:rsidRDefault="006E4FD7" w:rsidP="00587972">
      <w:pPr>
        <w:rPr>
          <w:color w:val="auto"/>
        </w:rPr>
      </w:pPr>
    </w:p>
    <w:p w:rsidR="006E4FD7" w:rsidRPr="00555AC4" w:rsidRDefault="00587972" w:rsidP="00587972">
      <w:pPr>
        <w:rPr>
          <w:color w:val="auto"/>
          <w:u w:val="single"/>
        </w:rPr>
      </w:pPr>
      <w:r w:rsidRPr="00555AC4">
        <w:rPr>
          <w:color w:val="auto"/>
          <w:u w:val="single"/>
        </w:rPr>
        <w:t>Steunventilator</w:t>
      </w:r>
    </w:p>
    <w:p w:rsidR="00587972" w:rsidRPr="00555AC4" w:rsidRDefault="00587972" w:rsidP="00587972">
      <w:pPr>
        <w:rPr>
          <w:color w:val="auto"/>
        </w:rPr>
      </w:pPr>
      <w:r w:rsidRPr="00555AC4">
        <w:rPr>
          <w:color w:val="auto"/>
        </w:rPr>
        <w:t xml:space="preserve">Voor ruimten </w:t>
      </w:r>
      <w:r w:rsidR="00555AC4">
        <w:rPr>
          <w:color w:val="auto"/>
        </w:rPr>
        <w:t xml:space="preserve">met een </w:t>
      </w:r>
      <w:r w:rsidRPr="00555AC4">
        <w:rPr>
          <w:color w:val="auto"/>
        </w:rPr>
        <w:t>gemiddeld</w:t>
      </w:r>
      <w:r w:rsidR="00555AC4">
        <w:rPr>
          <w:color w:val="auto"/>
        </w:rPr>
        <w:t>e</w:t>
      </w:r>
      <w:r w:rsidRPr="00555AC4">
        <w:rPr>
          <w:color w:val="auto"/>
        </w:rPr>
        <w:t xml:space="preserve"> ho</w:t>
      </w:r>
      <w:r w:rsidR="00555AC4">
        <w:rPr>
          <w:color w:val="auto"/>
        </w:rPr>
        <w:t>o</w:t>
      </w:r>
      <w:r w:rsidRPr="00555AC4">
        <w:rPr>
          <w:color w:val="auto"/>
        </w:rPr>
        <w:t>g</w:t>
      </w:r>
      <w:r w:rsidR="00555AC4">
        <w:rPr>
          <w:color w:val="auto"/>
        </w:rPr>
        <w:t>t</w:t>
      </w:r>
      <w:r w:rsidRPr="00555AC4">
        <w:rPr>
          <w:color w:val="auto"/>
        </w:rPr>
        <w:t>e</w:t>
      </w:r>
      <w:r w:rsidR="00555AC4">
        <w:rPr>
          <w:color w:val="auto"/>
        </w:rPr>
        <w:t xml:space="preserve"> groter</w:t>
      </w:r>
      <w:r w:rsidRPr="00555AC4">
        <w:rPr>
          <w:color w:val="auto"/>
        </w:rPr>
        <w:t xml:space="preserve"> dan </w:t>
      </w:r>
      <w:r w:rsidR="00555AC4" w:rsidRPr="00555AC4">
        <w:rPr>
          <w:color w:val="auto"/>
        </w:rPr>
        <w:t>4</w:t>
      </w:r>
      <w:r w:rsidRPr="00555AC4">
        <w:rPr>
          <w:color w:val="auto"/>
        </w:rPr>
        <w:t xml:space="preserve"> m</w:t>
      </w:r>
      <w:r w:rsidR="00555AC4" w:rsidRPr="00555AC4">
        <w:rPr>
          <w:color w:val="auto"/>
        </w:rPr>
        <w:t>eter</w:t>
      </w:r>
      <w:r w:rsidRPr="00555AC4">
        <w:rPr>
          <w:color w:val="auto"/>
        </w:rPr>
        <w:t>, niet zijnde stallen.</w:t>
      </w:r>
    </w:p>
    <w:p w:rsidR="00587972" w:rsidRPr="00555AC4" w:rsidRDefault="00587972" w:rsidP="00555AC4">
      <w:pPr>
        <w:pStyle w:val="Lijstalinea"/>
        <w:numPr>
          <w:ilvl w:val="0"/>
          <w:numId w:val="12"/>
        </w:numPr>
        <w:rPr>
          <w:color w:val="auto"/>
        </w:rPr>
      </w:pPr>
      <w:proofErr w:type="spellStart"/>
      <w:r w:rsidRPr="00555AC4">
        <w:rPr>
          <w:color w:val="auto"/>
        </w:rPr>
        <w:t>Thermostatisch</w:t>
      </w:r>
      <w:proofErr w:type="spellEnd"/>
      <w:r w:rsidRPr="00555AC4">
        <w:rPr>
          <w:color w:val="auto"/>
        </w:rPr>
        <w:t xml:space="preserve"> geregelde steunventilator in </w:t>
      </w:r>
      <w:proofErr w:type="spellStart"/>
      <w:r w:rsidRPr="00555AC4">
        <w:rPr>
          <w:color w:val="auto"/>
        </w:rPr>
        <w:t>omkasting</w:t>
      </w:r>
      <w:proofErr w:type="spellEnd"/>
      <w:r w:rsidRPr="00555AC4">
        <w:rPr>
          <w:color w:val="auto"/>
        </w:rPr>
        <w:t xml:space="preserve"> aan het plafond;</w:t>
      </w:r>
    </w:p>
    <w:p w:rsidR="00587972" w:rsidRPr="00555AC4" w:rsidRDefault="00587972" w:rsidP="00555AC4">
      <w:pPr>
        <w:pStyle w:val="Lijstalinea"/>
        <w:numPr>
          <w:ilvl w:val="0"/>
          <w:numId w:val="12"/>
        </w:numPr>
        <w:rPr>
          <w:color w:val="auto"/>
        </w:rPr>
      </w:pPr>
      <w:r w:rsidRPr="00555AC4">
        <w:rPr>
          <w:color w:val="auto"/>
        </w:rPr>
        <w:t>Of een ventilator met een minimale rotordiameter van 350cm.</w:t>
      </w:r>
    </w:p>
    <w:p w:rsidR="006E4FD7" w:rsidRPr="00555AC4" w:rsidRDefault="006E4FD7" w:rsidP="00587972">
      <w:pPr>
        <w:rPr>
          <w:color w:val="auto"/>
        </w:rPr>
      </w:pPr>
    </w:p>
    <w:p w:rsidR="006E4FD7" w:rsidRPr="00555AC4" w:rsidRDefault="00587972" w:rsidP="00587972">
      <w:pPr>
        <w:rPr>
          <w:color w:val="auto"/>
          <w:u w:val="single"/>
        </w:rPr>
      </w:pPr>
      <w:r w:rsidRPr="00555AC4">
        <w:rPr>
          <w:color w:val="auto"/>
          <w:u w:val="single"/>
        </w:rPr>
        <w:t>Direct gasgestookt stralingspaneel</w:t>
      </w:r>
    </w:p>
    <w:p w:rsidR="00587972" w:rsidRPr="00555AC4" w:rsidRDefault="00587972" w:rsidP="00587972">
      <w:pPr>
        <w:rPr>
          <w:color w:val="auto"/>
        </w:rPr>
      </w:pPr>
      <w:r w:rsidRPr="00555AC4">
        <w:rPr>
          <w:color w:val="auto"/>
        </w:rPr>
        <w:t>Voor het verwarmen van gesloten binnenruimten met een gemiddelde hoogte &gt; 4 meter, niet zijnde tuinbouwkassen.</w:t>
      </w:r>
    </w:p>
    <w:p w:rsidR="00587972" w:rsidRPr="00555AC4" w:rsidRDefault="00587972" w:rsidP="00555AC4">
      <w:pPr>
        <w:pStyle w:val="Lijstalinea"/>
        <w:numPr>
          <w:ilvl w:val="0"/>
          <w:numId w:val="13"/>
        </w:numPr>
        <w:rPr>
          <w:color w:val="auto"/>
        </w:rPr>
      </w:pPr>
      <w:r w:rsidRPr="00555AC4">
        <w:rPr>
          <w:color w:val="auto"/>
        </w:rPr>
        <w:t xml:space="preserve">Direct gasgestookte </w:t>
      </w:r>
      <w:proofErr w:type="spellStart"/>
      <w:r w:rsidRPr="00555AC4">
        <w:rPr>
          <w:color w:val="auto"/>
        </w:rPr>
        <w:t>donkerstraler</w:t>
      </w:r>
      <w:proofErr w:type="spellEnd"/>
      <w:r w:rsidRPr="00555AC4">
        <w:rPr>
          <w:color w:val="auto"/>
        </w:rPr>
        <w:t xml:space="preserve"> met een verbrandingsrendement &gt;=86%;</w:t>
      </w:r>
    </w:p>
    <w:p w:rsidR="00587972" w:rsidRPr="00555AC4" w:rsidRDefault="00587972" w:rsidP="00555AC4">
      <w:pPr>
        <w:pStyle w:val="Lijstalinea"/>
        <w:numPr>
          <w:ilvl w:val="0"/>
          <w:numId w:val="13"/>
        </w:numPr>
        <w:rPr>
          <w:color w:val="auto"/>
        </w:rPr>
      </w:pPr>
      <w:r w:rsidRPr="00555AC4">
        <w:rPr>
          <w:color w:val="auto"/>
        </w:rPr>
        <w:t xml:space="preserve">Of een direct gestookte </w:t>
      </w:r>
      <w:proofErr w:type="spellStart"/>
      <w:r w:rsidRPr="00555AC4">
        <w:rPr>
          <w:color w:val="auto"/>
        </w:rPr>
        <w:t>hogetemperatuurstraler</w:t>
      </w:r>
      <w:proofErr w:type="spellEnd"/>
      <w:r w:rsidRPr="00555AC4">
        <w:rPr>
          <w:color w:val="auto"/>
        </w:rPr>
        <w:t>.</w:t>
      </w:r>
    </w:p>
    <w:p w:rsidR="006E4FD7" w:rsidRPr="00555AC4" w:rsidRDefault="006E4FD7" w:rsidP="00587972">
      <w:pPr>
        <w:rPr>
          <w:color w:val="auto"/>
        </w:rPr>
      </w:pPr>
    </w:p>
    <w:p w:rsidR="006E4FD7" w:rsidRPr="00555AC4" w:rsidRDefault="00587972" w:rsidP="00587972">
      <w:pPr>
        <w:rPr>
          <w:color w:val="auto"/>
          <w:u w:val="single"/>
        </w:rPr>
      </w:pPr>
      <w:r w:rsidRPr="00555AC4">
        <w:rPr>
          <w:color w:val="auto"/>
          <w:u w:val="single"/>
        </w:rPr>
        <w:t xml:space="preserve">Direct gasgestookt condenserende boiler of condenserend </w:t>
      </w:r>
      <w:proofErr w:type="spellStart"/>
      <w:r w:rsidRPr="00555AC4">
        <w:rPr>
          <w:color w:val="auto"/>
          <w:u w:val="single"/>
        </w:rPr>
        <w:t>warmwaterdoorstroomtoestel</w:t>
      </w:r>
      <w:proofErr w:type="spellEnd"/>
    </w:p>
    <w:p w:rsidR="00587972" w:rsidRPr="00555AC4" w:rsidRDefault="00587972" w:rsidP="00587972">
      <w:pPr>
        <w:rPr>
          <w:color w:val="auto"/>
        </w:rPr>
      </w:pPr>
      <w:r w:rsidRPr="00555AC4">
        <w:rPr>
          <w:color w:val="auto"/>
        </w:rPr>
        <w:t>Met een rendement van ten minste 100% op de onderste verbrandingswaarde.</w:t>
      </w:r>
    </w:p>
    <w:p w:rsidR="006E4FD7" w:rsidRPr="00555AC4" w:rsidRDefault="006E4FD7" w:rsidP="00587972">
      <w:pPr>
        <w:rPr>
          <w:color w:val="auto"/>
        </w:rPr>
      </w:pPr>
    </w:p>
    <w:p w:rsidR="006E4FD7" w:rsidRPr="00555AC4" w:rsidRDefault="00587972" w:rsidP="00587972">
      <w:pPr>
        <w:rPr>
          <w:color w:val="auto"/>
          <w:u w:val="single"/>
        </w:rPr>
      </w:pPr>
      <w:r w:rsidRPr="00555AC4">
        <w:rPr>
          <w:color w:val="auto"/>
          <w:u w:val="single"/>
        </w:rPr>
        <w:t xml:space="preserve">Direct gasgestookt hoogtemperatuur </w:t>
      </w:r>
      <w:proofErr w:type="spellStart"/>
      <w:r w:rsidRPr="00555AC4">
        <w:rPr>
          <w:color w:val="auto"/>
          <w:u w:val="single"/>
        </w:rPr>
        <w:t>tapwaterboiler</w:t>
      </w:r>
      <w:proofErr w:type="spellEnd"/>
    </w:p>
    <w:p w:rsidR="00587972" w:rsidRPr="00555AC4" w:rsidRDefault="00587972" w:rsidP="00587972">
      <w:pPr>
        <w:rPr>
          <w:color w:val="auto"/>
        </w:rPr>
      </w:pPr>
      <w:r w:rsidRPr="00555AC4">
        <w:rPr>
          <w:color w:val="auto"/>
        </w:rPr>
        <w:t>Bij (deels) verwarmen tot ten minste 80°C, geldt een minimum rendement van 75% op de onderste verbrandingswaarde.</w:t>
      </w:r>
    </w:p>
    <w:p w:rsidR="00587972" w:rsidRPr="00555AC4" w:rsidRDefault="00587972" w:rsidP="00587972">
      <w:pPr>
        <w:rPr>
          <w:i/>
          <w:color w:val="auto"/>
        </w:rPr>
      </w:pPr>
      <w:r w:rsidRPr="00555AC4">
        <w:rPr>
          <w:i/>
          <w:color w:val="auto"/>
        </w:rPr>
        <w:t xml:space="preserve">Een ketel met Gaskeur </w:t>
      </w:r>
      <w:proofErr w:type="spellStart"/>
      <w:r w:rsidRPr="00555AC4">
        <w:rPr>
          <w:i/>
          <w:color w:val="auto"/>
        </w:rPr>
        <w:t>HRww</w:t>
      </w:r>
      <w:proofErr w:type="spellEnd"/>
      <w:r w:rsidRPr="00555AC4">
        <w:rPr>
          <w:i/>
          <w:color w:val="auto"/>
        </w:rPr>
        <w:t>:2010 voldoet aan de rendementseis.</w:t>
      </w:r>
    </w:p>
    <w:p w:rsidR="006E4FD7" w:rsidRPr="00555AC4" w:rsidRDefault="006E4FD7" w:rsidP="00587972">
      <w:pPr>
        <w:rPr>
          <w:i/>
          <w:color w:val="auto"/>
          <w:u w:val="single"/>
        </w:rPr>
      </w:pPr>
    </w:p>
    <w:p w:rsidR="006E4FD7" w:rsidRPr="00555AC4" w:rsidRDefault="00587972" w:rsidP="00587972">
      <w:pPr>
        <w:rPr>
          <w:color w:val="auto"/>
          <w:u w:val="single"/>
        </w:rPr>
      </w:pPr>
      <w:r w:rsidRPr="00555AC4">
        <w:rPr>
          <w:color w:val="auto"/>
          <w:u w:val="single"/>
        </w:rPr>
        <w:t>Brandstofcel</w:t>
      </w:r>
    </w:p>
    <w:p w:rsidR="00587972" w:rsidRPr="00555AC4" w:rsidRDefault="00587972" w:rsidP="00587972">
      <w:pPr>
        <w:rPr>
          <w:color w:val="auto"/>
        </w:rPr>
      </w:pPr>
      <w:r w:rsidRPr="00555AC4">
        <w:rPr>
          <w:color w:val="auto"/>
        </w:rPr>
        <w:t>Gecombineerde opwekking van warmte en elektra door een brandstofcel komt in aanmerking zonder dat er technische of minimum/maximum investering eisen aan gesteld worden.</w:t>
      </w:r>
    </w:p>
    <w:p w:rsidR="00587972" w:rsidRPr="00555AC4" w:rsidRDefault="00587972" w:rsidP="00587972">
      <w:pPr>
        <w:rPr>
          <w:color w:val="auto"/>
          <w:u w:val="single"/>
        </w:rPr>
      </w:pPr>
    </w:p>
    <w:p w:rsidR="006E4FD7" w:rsidRPr="00555AC4" w:rsidRDefault="00587972" w:rsidP="00587972">
      <w:pPr>
        <w:rPr>
          <w:color w:val="auto"/>
          <w:u w:val="single"/>
        </w:rPr>
      </w:pPr>
      <w:r w:rsidRPr="00555AC4">
        <w:rPr>
          <w:color w:val="auto"/>
          <w:u w:val="single"/>
        </w:rPr>
        <w:t>Biomassa ketel of kachel</w:t>
      </w:r>
    </w:p>
    <w:p w:rsidR="00587972" w:rsidRPr="00555AC4" w:rsidRDefault="00587972" w:rsidP="00587972">
      <w:pPr>
        <w:rPr>
          <w:color w:val="auto"/>
        </w:rPr>
      </w:pPr>
      <w:r w:rsidRPr="00555AC4">
        <w:rPr>
          <w:color w:val="auto"/>
        </w:rPr>
        <w:t>Met een warmterendement van ten minste 80%.</w:t>
      </w:r>
    </w:p>
    <w:p w:rsidR="00587972" w:rsidRPr="00555AC4" w:rsidRDefault="00587972" w:rsidP="00587972">
      <w:pPr>
        <w:rPr>
          <w:color w:val="auto"/>
        </w:rPr>
      </w:pPr>
      <w:r w:rsidRPr="00555AC4">
        <w:rPr>
          <w:color w:val="auto"/>
        </w:rPr>
        <w:t xml:space="preserve">Ketelopstelling &lt; 500 kW. Eventueel inclusief warmtetransportleiding. Warmtedistributie/afgifte komt niet in aanmerking. </w:t>
      </w:r>
    </w:p>
    <w:p w:rsidR="00587972" w:rsidRPr="00555AC4" w:rsidRDefault="00587972" w:rsidP="00587972">
      <w:pPr>
        <w:rPr>
          <w:color w:val="auto"/>
        </w:rPr>
      </w:pPr>
      <w:r w:rsidRPr="00555AC4">
        <w:rPr>
          <w:color w:val="auto"/>
        </w:rPr>
        <w:t>Een opstelling &gt;= 500 kW komt alleen in aanmerking met SDE2013 of eerder.</w:t>
      </w:r>
    </w:p>
    <w:p w:rsidR="006E4FD7" w:rsidRDefault="006E4FD7" w:rsidP="00587972">
      <w:pPr>
        <w:rPr>
          <w:color w:val="auto"/>
        </w:rPr>
      </w:pPr>
    </w:p>
    <w:p w:rsidR="00525815" w:rsidRPr="003317B5" w:rsidRDefault="00525815" w:rsidP="00587972">
      <w:pPr>
        <w:rPr>
          <w:color w:val="auto"/>
        </w:rPr>
      </w:pPr>
    </w:p>
    <w:p w:rsidR="006E4FD7" w:rsidRPr="003317B5" w:rsidRDefault="00587972" w:rsidP="00587972">
      <w:pPr>
        <w:rPr>
          <w:color w:val="auto"/>
          <w:u w:val="single"/>
        </w:rPr>
      </w:pPr>
      <w:r w:rsidRPr="003317B5">
        <w:rPr>
          <w:color w:val="auto"/>
          <w:u w:val="single"/>
        </w:rPr>
        <w:lastRenderedPageBreak/>
        <w:t>Zonnecollector voor verwarmen</w:t>
      </w:r>
    </w:p>
    <w:p w:rsidR="00587972" w:rsidRPr="003317B5" w:rsidRDefault="003317B5" w:rsidP="003317B5">
      <w:pPr>
        <w:pStyle w:val="Lijstalinea"/>
        <w:numPr>
          <w:ilvl w:val="0"/>
          <w:numId w:val="14"/>
        </w:numPr>
        <w:rPr>
          <w:color w:val="auto"/>
        </w:rPr>
      </w:pPr>
      <w:r w:rsidRPr="003317B5">
        <w:rPr>
          <w:color w:val="auto"/>
        </w:rPr>
        <w:t>&lt; 100 m²,</w:t>
      </w:r>
      <w:r w:rsidR="00587972" w:rsidRPr="003317B5">
        <w:rPr>
          <w:color w:val="auto"/>
        </w:rPr>
        <w:t xml:space="preserve"> eventueel met geïntegreerde PV cellen</w:t>
      </w:r>
      <w:r>
        <w:rPr>
          <w:color w:val="auto"/>
        </w:rPr>
        <w:t>;</w:t>
      </w:r>
    </w:p>
    <w:p w:rsidR="00587972" w:rsidRPr="003317B5" w:rsidRDefault="003317B5" w:rsidP="003317B5">
      <w:pPr>
        <w:pStyle w:val="Lijstalinea"/>
        <w:numPr>
          <w:ilvl w:val="0"/>
          <w:numId w:val="14"/>
        </w:numPr>
        <w:rPr>
          <w:color w:val="auto"/>
        </w:rPr>
      </w:pPr>
      <w:r w:rsidRPr="003317B5">
        <w:rPr>
          <w:color w:val="auto"/>
        </w:rPr>
        <w:t xml:space="preserve">of &gt;=100 m² </w:t>
      </w:r>
      <w:r>
        <w:rPr>
          <w:color w:val="auto"/>
        </w:rPr>
        <w:t>onafgedekt.</w:t>
      </w:r>
    </w:p>
    <w:p w:rsidR="00587972" w:rsidRPr="003317B5" w:rsidRDefault="00587972" w:rsidP="00587972">
      <w:pPr>
        <w:rPr>
          <w:color w:val="auto"/>
        </w:rPr>
      </w:pPr>
      <w:r w:rsidRPr="003317B5">
        <w:rPr>
          <w:color w:val="auto"/>
        </w:rPr>
        <w:t>Een opstelling &gt;=100</w:t>
      </w:r>
      <w:r w:rsidR="003317B5">
        <w:rPr>
          <w:color w:val="auto"/>
        </w:rPr>
        <w:t xml:space="preserve"> m² </w:t>
      </w:r>
      <w:r w:rsidRPr="003317B5">
        <w:rPr>
          <w:color w:val="auto"/>
        </w:rPr>
        <w:t>komt alleen in aanmerking met SDE2013 of eerder, met transparante isolerende laag.</w:t>
      </w:r>
    </w:p>
    <w:p w:rsidR="006E4FD7" w:rsidRPr="003317B5" w:rsidRDefault="006E4FD7" w:rsidP="00587972">
      <w:pPr>
        <w:rPr>
          <w:color w:val="auto"/>
        </w:rPr>
      </w:pPr>
    </w:p>
    <w:p w:rsidR="006E4FD7" w:rsidRPr="003317B5" w:rsidRDefault="00587972" w:rsidP="00587972">
      <w:pPr>
        <w:rPr>
          <w:color w:val="auto"/>
          <w:u w:val="single"/>
        </w:rPr>
      </w:pPr>
      <w:r w:rsidRPr="003317B5">
        <w:rPr>
          <w:color w:val="auto"/>
          <w:u w:val="single"/>
        </w:rPr>
        <w:t>Warmte- of koudeopslag in de bodem (</w:t>
      </w:r>
      <w:proofErr w:type="spellStart"/>
      <w:r w:rsidRPr="003317B5">
        <w:rPr>
          <w:color w:val="auto"/>
          <w:u w:val="single"/>
        </w:rPr>
        <w:t>aquifer</w:t>
      </w:r>
      <w:proofErr w:type="spellEnd"/>
      <w:r w:rsidRPr="003317B5">
        <w:rPr>
          <w:color w:val="auto"/>
          <w:u w:val="single"/>
        </w:rPr>
        <w:t>)</w:t>
      </w:r>
    </w:p>
    <w:p w:rsidR="00587972" w:rsidRPr="003317B5" w:rsidRDefault="00587972" w:rsidP="00587972">
      <w:pPr>
        <w:rPr>
          <w:color w:val="auto"/>
        </w:rPr>
      </w:pPr>
      <w:r w:rsidRPr="003317B5">
        <w:rPr>
          <w:color w:val="auto"/>
        </w:rPr>
        <w:t xml:space="preserve">De </w:t>
      </w:r>
      <w:proofErr w:type="spellStart"/>
      <w:r w:rsidRPr="003317B5">
        <w:rPr>
          <w:color w:val="auto"/>
        </w:rPr>
        <w:t>aquifer</w:t>
      </w:r>
      <w:proofErr w:type="spellEnd"/>
      <w:r w:rsidRPr="003317B5">
        <w:rPr>
          <w:color w:val="auto"/>
        </w:rPr>
        <w:t xml:space="preserve"> komt in aanmerking. In aanmerking komen dan de bronnen, warmtewisselaar, warmtetransportleiding &amp;</w:t>
      </w:r>
      <w:r w:rsidR="003317B5">
        <w:rPr>
          <w:color w:val="auto"/>
        </w:rPr>
        <w:t xml:space="preserve"> </w:t>
      </w:r>
      <w:r w:rsidRPr="003317B5">
        <w:rPr>
          <w:color w:val="auto"/>
        </w:rPr>
        <w:t>pompen. Vrije koeling/warmte warmtewisselaar voor regeneratie ook mogelijk.</w:t>
      </w:r>
    </w:p>
    <w:p w:rsidR="006E4FD7" w:rsidRPr="003317B5" w:rsidRDefault="006E4FD7" w:rsidP="00587972">
      <w:pPr>
        <w:rPr>
          <w:color w:val="auto"/>
        </w:rPr>
      </w:pPr>
    </w:p>
    <w:p w:rsidR="006E4FD7" w:rsidRPr="00B34ADF" w:rsidRDefault="00587972" w:rsidP="00587972">
      <w:pPr>
        <w:rPr>
          <w:color w:val="auto"/>
          <w:u w:val="single"/>
        </w:rPr>
      </w:pPr>
      <w:proofErr w:type="spellStart"/>
      <w:r w:rsidRPr="00B34ADF">
        <w:rPr>
          <w:color w:val="auto"/>
          <w:u w:val="single"/>
        </w:rPr>
        <w:t>Fotovoltaïsch</w:t>
      </w:r>
      <w:proofErr w:type="spellEnd"/>
      <w:r w:rsidRPr="00B34ADF">
        <w:rPr>
          <w:color w:val="auto"/>
          <w:u w:val="single"/>
        </w:rPr>
        <w:t xml:space="preserve"> zonne-energiesysteem</w:t>
      </w:r>
    </w:p>
    <w:p w:rsidR="00B34ADF" w:rsidRPr="00B34ADF" w:rsidRDefault="00587972" w:rsidP="00587972">
      <w:pPr>
        <w:rPr>
          <w:color w:val="auto"/>
        </w:rPr>
      </w:pPr>
      <w:r w:rsidRPr="00B34ADF">
        <w:rPr>
          <w:color w:val="auto"/>
        </w:rPr>
        <w:t>Aansluiting maximaal 3x 80A,</w:t>
      </w:r>
      <w:r w:rsidR="00B34ADF" w:rsidRPr="00B34ADF">
        <w:rPr>
          <w:color w:val="auto"/>
        </w:rPr>
        <w:t xml:space="preserve"> alleen indien piek</w:t>
      </w:r>
      <w:r w:rsidRPr="00B34ADF">
        <w:rPr>
          <w:color w:val="auto"/>
        </w:rPr>
        <w:t xml:space="preserve">vermogen &gt; 25 </w:t>
      </w:r>
      <w:proofErr w:type="spellStart"/>
      <w:r w:rsidRPr="00B34ADF">
        <w:rPr>
          <w:color w:val="auto"/>
        </w:rPr>
        <w:t>kWp</w:t>
      </w:r>
      <w:proofErr w:type="spellEnd"/>
      <w:r w:rsidRPr="00B34ADF">
        <w:rPr>
          <w:color w:val="auto"/>
        </w:rPr>
        <w:t xml:space="preserve"> </w:t>
      </w:r>
      <w:r w:rsidR="00B34ADF" w:rsidRPr="00B34ADF">
        <w:rPr>
          <w:color w:val="auto"/>
        </w:rPr>
        <w:t>is</w:t>
      </w:r>
      <w:r w:rsidRPr="00B34ADF">
        <w:rPr>
          <w:color w:val="auto"/>
        </w:rPr>
        <w:t>.</w:t>
      </w:r>
      <w:r w:rsidR="00B34ADF" w:rsidRPr="00B34ADF">
        <w:rPr>
          <w:color w:val="auto"/>
        </w:rPr>
        <w:t xml:space="preserve"> Dan komt het volledige vermogen in aanmerking voor maximaal 750 €/</w:t>
      </w:r>
      <w:proofErr w:type="spellStart"/>
      <w:r w:rsidR="00B34ADF" w:rsidRPr="00B34ADF">
        <w:rPr>
          <w:color w:val="auto"/>
        </w:rPr>
        <w:t>kWp</w:t>
      </w:r>
      <w:proofErr w:type="spellEnd"/>
      <w:r w:rsidR="00B34ADF" w:rsidRPr="00B34ADF">
        <w:rPr>
          <w:color w:val="auto"/>
        </w:rPr>
        <w:t xml:space="preserve">. </w:t>
      </w:r>
    </w:p>
    <w:p w:rsidR="00587972" w:rsidRPr="00B34ADF" w:rsidRDefault="00587972" w:rsidP="00587972">
      <w:pPr>
        <w:rPr>
          <w:color w:val="auto"/>
        </w:rPr>
      </w:pPr>
      <w:r w:rsidRPr="00B34ADF">
        <w:rPr>
          <w:color w:val="auto"/>
        </w:rPr>
        <w:t xml:space="preserve">Bij aansluitingen &gt; 3x80A: Alleen indien een SDE2013 of eerder aanwezig is en piekvermogen boven de 15 </w:t>
      </w:r>
      <w:proofErr w:type="spellStart"/>
      <w:r w:rsidRPr="00B34ADF">
        <w:rPr>
          <w:color w:val="auto"/>
        </w:rPr>
        <w:t>kWp</w:t>
      </w:r>
      <w:proofErr w:type="spellEnd"/>
      <w:r w:rsidRPr="00B34ADF">
        <w:rPr>
          <w:color w:val="auto"/>
        </w:rPr>
        <w:t xml:space="preserve"> is. Volledige vermogen installatie komt in aanmerking.</w:t>
      </w:r>
    </w:p>
    <w:p w:rsidR="006E4FD7" w:rsidRPr="00587972" w:rsidRDefault="006E4FD7" w:rsidP="00587972">
      <w:pPr>
        <w:rPr>
          <w:color w:val="FF0000"/>
        </w:rPr>
      </w:pPr>
    </w:p>
    <w:p w:rsidR="006E4FD7" w:rsidRPr="007307D2" w:rsidRDefault="007307D2" w:rsidP="00587972">
      <w:pPr>
        <w:rPr>
          <w:color w:val="auto"/>
          <w:u w:val="single"/>
        </w:rPr>
      </w:pPr>
      <w:r>
        <w:rPr>
          <w:color w:val="auto"/>
          <w:u w:val="single"/>
        </w:rPr>
        <w:t>LED verlichting</w:t>
      </w:r>
    </w:p>
    <w:p w:rsidR="00695245" w:rsidRPr="007307D2" w:rsidRDefault="00587972" w:rsidP="00587972">
      <w:pPr>
        <w:rPr>
          <w:color w:val="auto"/>
        </w:rPr>
      </w:pPr>
      <w:r w:rsidRPr="007307D2">
        <w:rPr>
          <w:color w:val="auto"/>
        </w:rPr>
        <w:t xml:space="preserve">Bij het vervangen / opwaarderen van bestaande verlichting </w:t>
      </w:r>
      <w:r w:rsidR="007307D2" w:rsidRPr="007307D2">
        <w:rPr>
          <w:color w:val="auto"/>
        </w:rPr>
        <w:t xml:space="preserve">komt toepassing van LED </w:t>
      </w:r>
      <w:r w:rsidRPr="007307D2">
        <w:rPr>
          <w:color w:val="auto"/>
        </w:rPr>
        <w:t xml:space="preserve">in aanmerking. </w:t>
      </w:r>
      <w:r w:rsidR="007307D2" w:rsidRPr="007307D2">
        <w:rPr>
          <w:color w:val="auto"/>
        </w:rPr>
        <w:t>Met LED buis indien ten minste 110 lm/Watt. Bij LED armatuur anders dan met LED buis ten minste 100 lm/Watt.</w:t>
      </w:r>
      <w:r w:rsidR="007307D2">
        <w:rPr>
          <w:color w:val="auto"/>
        </w:rPr>
        <w:t xml:space="preserve"> Eventueel inclusief regeling op daglicht, aan</w:t>
      </w:r>
      <w:r w:rsidR="00525815">
        <w:rPr>
          <w:color w:val="auto"/>
        </w:rPr>
        <w:t>/af</w:t>
      </w:r>
      <w:r w:rsidR="007307D2">
        <w:rPr>
          <w:color w:val="auto"/>
        </w:rPr>
        <w:t>wezigheid of veegpuls.</w:t>
      </w:r>
    </w:p>
    <w:p w:rsidR="006E4FD7" w:rsidRPr="003317B5" w:rsidRDefault="006E4FD7" w:rsidP="00587972">
      <w:pPr>
        <w:rPr>
          <w:color w:val="auto"/>
        </w:rPr>
      </w:pPr>
    </w:p>
    <w:p w:rsidR="00587972" w:rsidRPr="003317B5" w:rsidRDefault="00587972" w:rsidP="00587972">
      <w:pPr>
        <w:rPr>
          <w:color w:val="auto"/>
          <w:u w:val="single"/>
        </w:rPr>
      </w:pPr>
      <w:r w:rsidRPr="003317B5">
        <w:rPr>
          <w:bCs/>
          <w:color w:val="auto"/>
          <w:u w:val="single"/>
        </w:rPr>
        <w:t xml:space="preserve">Energiezuinige handendroger </w:t>
      </w:r>
    </w:p>
    <w:p w:rsidR="0018323C" w:rsidRPr="003317B5" w:rsidRDefault="00587972" w:rsidP="004D084B">
      <w:pPr>
        <w:rPr>
          <w:color w:val="auto"/>
        </w:rPr>
      </w:pPr>
      <w:r w:rsidRPr="003317B5">
        <w:rPr>
          <w:color w:val="auto"/>
        </w:rPr>
        <w:t xml:space="preserve">Handendroger waarbij met onverwarmde lucht en hoge luchtsnelheid het water van de handen wordt geblazen. </w:t>
      </w:r>
    </w:p>
    <w:sectPr w:rsidR="0018323C" w:rsidRPr="003317B5" w:rsidSect="0058797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851" w:bottom="1474" w:left="1701"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D2" w:rsidRDefault="007307D2" w:rsidP="002C10D2">
      <w:pPr>
        <w:spacing w:line="240" w:lineRule="auto"/>
      </w:pPr>
      <w:r>
        <w:separator/>
      </w:r>
    </w:p>
  </w:endnote>
  <w:endnote w:type="continuationSeparator" w:id="0">
    <w:p w:rsidR="007307D2" w:rsidRDefault="007307D2" w:rsidP="002C10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2" w:rsidRDefault="007307D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686"/>
      <w:gridCol w:w="2268"/>
      <w:gridCol w:w="3400"/>
    </w:tblGrid>
    <w:tr w:rsidR="007307D2" w:rsidTr="008A7E4B">
      <w:trPr>
        <w:trHeight w:val="849"/>
      </w:trPr>
      <w:tc>
        <w:tcPr>
          <w:tcW w:w="3686" w:type="dxa"/>
        </w:tcPr>
        <w:p w:rsidR="007307D2" w:rsidRPr="0093751C" w:rsidRDefault="007307D2" w:rsidP="008A7E4B">
          <w:pPr>
            <w:pStyle w:val="Voettekst"/>
            <w:tabs>
              <w:tab w:val="clear" w:pos="4536"/>
              <w:tab w:val="clear" w:pos="9072"/>
            </w:tabs>
            <w:rPr>
              <w:sz w:val="12"/>
            </w:rPr>
          </w:pPr>
        </w:p>
      </w:tc>
      <w:tc>
        <w:tcPr>
          <w:tcW w:w="2268" w:type="dxa"/>
          <w:vAlign w:val="bottom"/>
        </w:tcPr>
        <w:sdt>
          <w:sdtPr>
            <w:rPr>
              <w:sz w:val="16"/>
            </w:rPr>
            <w:id w:val="250395305"/>
            <w:docPartObj>
              <w:docPartGallery w:val="Page Numbers (Top of Page)"/>
              <w:docPartUnique/>
            </w:docPartObj>
          </w:sdtPr>
          <w:sdtContent>
            <w:p w:rsidR="007307D2" w:rsidRPr="0093751C" w:rsidRDefault="007307D2" w:rsidP="008A7E4B">
              <w:pPr>
                <w:pStyle w:val="Voettekst"/>
                <w:tabs>
                  <w:tab w:val="clear" w:pos="4536"/>
                  <w:tab w:val="clear" w:pos="9072"/>
                </w:tabs>
                <w:rPr>
                  <w:sz w:val="16"/>
                </w:rPr>
              </w:pPr>
              <w:r w:rsidRPr="004D084B">
                <w:rPr>
                  <w:sz w:val="16"/>
                </w:rPr>
                <w:t xml:space="preserve">Pagina </w:t>
              </w:r>
              <w:r w:rsidR="009B1BAC" w:rsidRPr="004D084B">
                <w:rPr>
                  <w:sz w:val="16"/>
                </w:rPr>
                <w:fldChar w:fldCharType="begin"/>
              </w:r>
              <w:r w:rsidRPr="004D084B">
                <w:rPr>
                  <w:sz w:val="16"/>
                </w:rPr>
                <w:instrText xml:space="preserve"> PAGE </w:instrText>
              </w:r>
              <w:r w:rsidR="009B1BAC" w:rsidRPr="004D084B">
                <w:rPr>
                  <w:sz w:val="16"/>
                </w:rPr>
                <w:fldChar w:fldCharType="separate"/>
              </w:r>
              <w:r w:rsidR="004B752F">
                <w:rPr>
                  <w:noProof/>
                  <w:sz w:val="16"/>
                </w:rPr>
                <w:t>3</w:t>
              </w:r>
              <w:r w:rsidR="009B1BAC" w:rsidRPr="004D084B">
                <w:rPr>
                  <w:sz w:val="16"/>
                </w:rPr>
                <w:fldChar w:fldCharType="end"/>
              </w:r>
              <w:r w:rsidRPr="004D084B">
                <w:rPr>
                  <w:sz w:val="16"/>
                </w:rPr>
                <w:t xml:space="preserve"> van </w:t>
              </w:r>
              <w:r w:rsidR="009B1BAC" w:rsidRPr="004D084B">
                <w:rPr>
                  <w:sz w:val="16"/>
                </w:rPr>
                <w:fldChar w:fldCharType="begin"/>
              </w:r>
              <w:r w:rsidRPr="004D084B">
                <w:rPr>
                  <w:sz w:val="16"/>
                </w:rPr>
                <w:instrText xml:space="preserve"> NUMPAGES  </w:instrText>
              </w:r>
              <w:r w:rsidR="009B1BAC" w:rsidRPr="004D084B">
                <w:rPr>
                  <w:sz w:val="16"/>
                </w:rPr>
                <w:fldChar w:fldCharType="separate"/>
              </w:r>
              <w:r w:rsidR="004B752F">
                <w:rPr>
                  <w:noProof/>
                  <w:sz w:val="16"/>
                </w:rPr>
                <w:t>5</w:t>
              </w:r>
              <w:r w:rsidR="009B1BAC" w:rsidRPr="004D084B">
                <w:rPr>
                  <w:sz w:val="16"/>
                </w:rPr>
                <w:fldChar w:fldCharType="end"/>
              </w:r>
            </w:p>
          </w:sdtContent>
        </w:sdt>
      </w:tc>
      <w:tc>
        <w:tcPr>
          <w:tcW w:w="3400" w:type="dxa"/>
        </w:tcPr>
        <w:p w:rsidR="007307D2" w:rsidRPr="0093751C" w:rsidRDefault="007307D2" w:rsidP="008A7E4B">
          <w:pPr>
            <w:pStyle w:val="Voettekst"/>
            <w:tabs>
              <w:tab w:val="clear" w:pos="4536"/>
              <w:tab w:val="clear" w:pos="9072"/>
            </w:tabs>
            <w:rPr>
              <w:sz w:val="12"/>
            </w:rPr>
          </w:pPr>
          <w:r w:rsidRPr="0093751C">
            <w:rPr>
              <w:sz w:val="12"/>
            </w:rPr>
            <w:t>Op alle door ons te sluiten overeenkomsten zijn van toepassing de Algemene Leveringsvoorwaarden Installerende Bedrijven 2007 (ALIB 2007). Is de opdrachtgever consument, dan zijn van toepassing de Algemene Voorwaarden voor Installatiewerk voor Consumenten (AVIC). Beide algemene voorwaarden liggen bij ons ter inzage en worden op verzoek direct kosteloos toegezonden.</w:t>
          </w:r>
        </w:p>
      </w:tc>
    </w:tr>
  </w:tbl>
  <w:p w:rsidR="007307D2" w:rsidRPr="00587972" w:rsidRDefault="007307D2" w:rsidP="00587972">
    <w:pPr>
      <w:pStyle w:val="Voettekst"/>
    </w:pPr>
    <w:r>
      <w:rPr>
        <w:noProof/>
        <w:lang w:eastAsia="nl-NL"/>
      </w:rPr>
      <w:drawing>
        <wp:anchor distT="0" distB="0" distL="114300" distR="114300" simplePos="0" relativeHeight="251661312" behindDoc="1" locked="0" layoutInCell="1" allowOverlap="1">
          <wp:simplePos x="0" y="0"/>
          <wp:positionH relativeFrom="column">
            <wp:posOffset>-1080135</wp:posOffset>
          </wp:positionH>
          <wp:positionV relativeFrom="paragraph">
            <wp:posOffset>16510</wp:posOffset>
          </wp:positionV>
          <wp:extent cx="7559675" cy="342900"/>
          <wp:effectExtent l="1905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675" cy="3429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2" w:rsidRDefault="007307D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D2" w:rsidRDefault="007307D2" w:rsidP="002C10D2">
      <w:pPr>
        <w:spacing w:line="240" w:lineRule="auto"/>
      </w:pPr>
      <w:r>
        <w:separator/>
      </w:r>
    </w:p>
  </w:footnote>
  <w:footnote w:type="continuationSeparator" w:id="0">
    <w:p w:rsidR="007307D2" w:rsidRDefault="007307D2" w:rsidP="002C10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2" w:rsidRDefault="007307D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2" w:rsidRDefault="007307D2" w:rsidP="00587972">
    <w:pPr>
      <w:pStyle w:val="Koptekst"/>
      <w:tabs>
        <w:tab w:val="clear" w:pos="4536"/>
        <w:tab w:val="clear" w:pos="9072"/>
        <w:tab w:val="left" w:pos="5954"/>
      </w:tabs>
      <w:spacing w:line="200" w:lineRule="exact"/>
      <w:rPr>
        <w:sz w:val="16"/>
      </w:rPr>
    </w:pPr>
    <w:r>
      <w:rPr>
        <w:noProof/>
        <w:sz w:val="16"/>
        <w:lang w:eastAsia="nl-NL"/>
      </w:rPr>
      <w:drawing>
        <wp:anchor distT="0" distB="0" distL="114300" distR="114300" simplePos="0" relativeHeight="251659264" behindDoc="1" locked="0" layoutInCell="1" allowOverlap="1">
          <wp:simplePos x="0" y="0"/>
          <wp:positionH relativeFrom="column">
            <wp:posOffset>-1082350</wp:posOffset>
          </wp:positionH>
          <wp:positionV relativeFrom="paragraph">
            <wp:posOffset>-428950</wp:posOffset>
          </wp:positionV>
          <wp:extent cx="7559424" cy="925033"/>
          <wp:effectExtent l="19050" t="0" r="3426"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424" cy="925033"/>
                  </a:xfrm>
                  <a:prstGeom prst="rect">
                    <a:avLst/>
                  </a:prstGeom>
                </pic:spPr>
              </pic:pic>
            </a:graphicData>
          </a:graphic>
        </wp:anchor>
      </w:drawing>
    </w:r>
    <w:r>
      <w:rPr>
        <w:sz w:val="16"/>
      </w:rPr>
      <w:tab/>
      <w:t>De Run 5443</w:t>
    </w:r>
    <w:r>
      <w:rPr>
        <w:sz w:val="16"/>
      </w:rPr>
      <w:tab/>
    </w:r>
    <w:r>
      <w:rPr>
        <w:sz w:val="16"/>
      </w:rPr>
      <w:tab/>
      <w:t>T: 040 253 23 52</w:t>
    </w:r>
  </w:p>
  <w:p w:rsidR="007307D2" w:rsidRDefault="007307D2" w:rsidP="00587972">
    <w:pPr>
      <w:pStyle w:val="Koptekst"/>
      <w:tabs>
        <w:tab w:val="clear" w:pos="4536"/>
        <w:tab w:val="clear" w:pos="9072"/>
        <w:tab w:val="left" w:pos="0"/>
        <w:tab w:val="left" w:pos="5954"/>
      </w:tabs>
      <w:spacing w:line="200" w:lineRule="exact"/>
      <w:rPr>
        <w:sz w:val="16"/>
      </w:rPr>
    </w:pPr>
    <w:r>
      <w:rPr>
        <w:sz w:val="16"/>
      </w:rPr>
      <w:tab/>
      <w:t>5504 DG Veldhoven</w:t>
    </w:r>
    <w:r>
      <w:rPr>
        <w:sz w:val="16"/>
      </w:rPr>
      <w:tab/>
      <w:t>F: 040 253 28 85</w:t>
    </w:r>
  </w:p>
  <w:p w:rsidR="007307D2" w:rsidRDefault="007307D2" w:rsidP="00587972">
    <w:pPr>
      <w:pStyle w:val="Koptekst"/>
      <w:tabs>
        <w:tab w:val="clear" w:pos="4536"/>
        <w:tab w:val="clear" w:pos="9072"/>
        <w:tab w:val="left" w:pos="0"/>
        <w:tab w:val="left" w:pos="5954"/>
      </w:tabs>
      <w:spacing w:line="200" w:lineRule="exact"/>
      <w:rPr>
        <w:sz w:val="16"/>
      </w:rPr>
    </w:pPr>
    <w:r>
      <w:rPr>
        <w:sz w:val="16"/>
      </w:rPr>
      <w:tab/>
      <w:t>Postbus 446</w:t>
    </w:r>
    <w:r>
      <w:rPr>
        <w:sz w:val="16"/>
      </w:rPr>
      <w:tab/>
    </w:r>
    <w:r>
      <w:rPr>
        <w:sz w:val="16"/>
      </w:rPr>
      <w:tab/>
    </w:r>
    <w:r w:rsidRPr="003A02E4">
      <w:rPr>
        <w:sz w:val="16"/>
      </w:rPr>
      <w:t>info@van-hout.com</w:t>
    </w:r>
  </w:p>
  <w:p w:rsidR="007307D2" w:rsidRDefault="007307D2" w:rsidP="00587972">
    <w:pPr>
      <w:pStyle w:val="Koptekst"/>
      <w:tabs>
        <w:tab w:val="clear" w:pos="4536"/>
        <w:tab w:val="clear" w:pos="9072"/>
        <w:tab w:val="left" w:pos="0"/>
        <w:tab w:val="left" w:pos="5954"/>
      </w:tabs>
      <w:spacing w:line="200" w:lineRule="exact"/>
      <w:rPr>
        <w:sz w:val="16"/>
      </w:rPr>
    </w:pPr>
    <w:r>
      <w:rPr>
        <w:sz w:val="16"/>
      </w:rPr>
      <w:tab/>
      <w:t>5500 AK Veldhoven</w:t>
    </w:r>
    <w:r>
      <w:rPr>
        <w:sz w:val="16"/>
      </w:rPr>
      <w:tab/>
      <w:t>van-hout.com</w:t>
    </w:r>
  </w:p>
  <w:p w:rsidR="007307D2" w:rsidRDefault="007307D2" w:rsidP="00587972">
    <w:pPr>
      <w:pStyle w:val="Koptekst"/>
      <w:tabs>
        <w:tab w:val="clear" w:pos="4536"/>
        <w:tab w:val="clear" w:pos="9072"/>
        <w:tab w:val="left" w:pos="0"/>
        <w:tab w:val="left" w:pos="5954"/>
      </w:tabs>
      <w:spacing w:line="200" w:lineRule="exact"/>
      <w:rPr>
        <w:sz w:val="16"/>
      </w:rPr>
    </w:pPr>
    <w:r>
      <w:rPr>
        <w:sz w:val="16"/>
      </w:rPr>
      <w:tab/>
    </w:r>
  </w:p>
  <w:p w:rsidR="007307D2" w:rsidRDefault="007307D2" w:rsidP="00587972">
    <w:pPr>
      <w:pStyle w:val="Koptekst"/>
      <w:tabs>
        <w:tab w:val="clear" w:pos="4536"/>
        <w:tab w:val="left" w:pos="0"/>
        <w:tab w:val="left" w:pos="5954"/>
      </w:tabs>
      <w:spacing w:line="200" w:lineRule="exact"/>
      <w:rPr>
        <w:sz w:val="16"/>
      </w:rPr>
    </w:pPr>
    <w:r>
      <w:rPr>
        <w:sz w:val="16"/>
      </w:rPr>
      <w:tab/>
      <w:t>IBAN NL27 RABO 0153603046</w:t>
    </w:r>
  </w:p>
  <w:p w:rsidR="007307D2" w:rsidRDefault="007307D2" w:rsidP="00587972">
    <w:pPr>
      <w:pStyle w:val="Koptekst"/>
      <w:tabs>
        <w:tab w:val="clear" w:pos="4536"/>
        <w:tab w:val="left" w:pos="5954"/>
      </w:tabs>
      <w:spacing w:line="200" w:lineRule="exact"/>
      <w:rPr>
        <w:sz w:val="16"/>
      </w:rPr>
    </w:pPr>
    <w:r>
      <w:rPr>
        <w:sz w:val="16"/>
      </w:rPr>
      <w:tab/>
      <w:t xml:space="preserve">BIC RABONL2U </w:t>
    </w:r>
    <w:r>
      <w:rPr>
        <w:rFonts w:cs="Arial" w:hint="cs"/>
        <w:sz w:val="16"/>
        <w:rtl/>
        <w:lang w:bidi="he-IL"/>
      </w:rPr>
      <w:t>ן</w:t>
    </w:r>
    <w:r>
      <w:rPr>
        <w:sz w:val="16"/>
      </w:rPr>
      <w:t xml:space="preserve"> KvK nr. 17035373</w:t>
    </w:r>
  </w:p>
  <w:p w:rsidR="007307D2" w:rsidRDefault="007307D2" w:rsidP="00587972">
    <w:pPr>
      <w:pStyle w:val="Koptekst"/>
      <w:tabs>
        <w:tab w:val="clear" w:pos="4536"/>
        <w:tab w:val="left" w:pos="5954"/>
      </w:tabs>
      <w:spacing w:line="200" w:lineRule="exact"/>
      <w:rPr>
        <w:sz w:val="16"/>
      </w:rPr>
    </w:pPr>
    <w:r>
      <w:rPr>
        <w:sz w:val="16"/>
      </w:rPr>
      <w:tab/>
      <w:t>BTW NL0030.72.125.B01</w:t>
    </w:r>
  </w:p>
  <w:p w:rsidR="007307D2" w:rsidRDefault="007307D2" w:rsidP="00587972">
    <w:pPr>
      <w:pStyle w:val="Koptekst"/>
      <w:tabs>
        <w:tab w:val="clear" w:pos="4536"/>
        <w:tab w:val="clear" w:pos="9072"/>
        <w:tab w:val="left" w:pos="0"/>
        <w:tab w:val="left" w:pos="5954"/>
      </w:tabs>
      <w:spacing w:line="200" w:lineRule="exact"/>
      <w:rPr>
        <w:sz w:val="16"/>
      </w:rPr>
    </w:pPr>
    <w:r>
      <w:rPr>
        <w:sz w:val="16"/>
      </w:rPr>
      <w:tab/>
    </w:r>
  </w:p>
  <w:p w:rsidR="007307D2" w:rsidRPr="00587972" w:rsidRDefault="007307D2" w:rsidP="00587972">
    <w:pPr>
      <w:pStyle w:val="Koptekst"/>
      <w:tabs>
        <w:tab w:val="clear" w:pos="4536"/>
        <w:tab w:val="clear" w:pos="9072"/>
        <w:tab w:val="left" w:pos="5954"/>
      </w:tabs>
      <w:spacing w:line="180" w:lineRule="exact"/>
      <w:ind w:right="-2"/>
      <w:rPr>
        <w:sz w:val="14"/>
      </w:rPr>
    </w:pPr>
    <w:r>
      <w:rPr>
        <w:sz w:val="16"/>
      </w:rPr>
      <w:tab/>
    </w:r>
    <w:r w:rsidRPr="00CD3BAA">
      <w:rPr>
        <w:sz w:val="14"/>
      </w:rPr>
      <w:t xml:space="preserve">Betaling binnen 14 dagen netto </w:t>
    </w:r>
    <w:r>
      <w:rPr>
        <w:sz w:val="14"/>
      </w:rPr>
      <w:t>o.v.v. factuur</w:t>
    </w:r>
    <w:r w:rsidRPr="00CD3BAA">
      <w:rPr>
        <w:sz w:val="14"/>
      </w:rPr>
      <w:t>nummer.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2" w:rsidRDefault="007307D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9E90CA"/>
    <w:lvl w:ilvl="0">
      <w:start w:val="1"/>
      <w:numFmt w:val="decimal"/>
      <w:lvlText w:val="%1."/>
      <w:lvlJc w:val="left"/>
      <w:pPr>
        <w:tabs>
          <w:tab w:val="num" w:pos="1492"/>
        </w:tabs>
        <w:ind w:left="1492" w:hanging="360"/>
      </w:pPr>
    </w:lvl>
  </w:abstractNum>
  <w:abstractNum w:abstractNumId="1">
    <w:nsid w:val="FFFFFF7D"/>
    <w:multiLevelType w:val="singleLevel"/>
    <w:tmpl w:val="D7DC89DC"/>
    <w:lvl w:ilvl="0">
      <w:start w:val="1"/>
      <w:numFmt w:val="decimal"/>
      <w:lvlText w:val="%1."/>
      <w:lvlJc w:val="left"/>
      <w:pPr>
        <w:tabs>
          <w:tab w:val="num" w:pos="1209"/>
        </w:tabs>
        <w:ind w:left="1209" w:hanging="360"/>
      </w:pPr>
    </w:lvl>
  </w:abstractNum>
  <w:abstractNum w:abstractNumId="2">
    <w:nsid w:val="FFFFFF7E"/>
    <w:multiLevelType w:val="singleLevel"/>
    <w:tmpl w:val="0DEC90A2"/>
    <w:lvl w:ilvl="0">
      <w:start w:val="1"/>
      <w:numFmt w:val="decimal"/>
      <w:lvlText w:val="%1."/>
      <w:lvlJc w:val="left"/>
      <w:pPr>
        <w:tabs>
          <w:tab w:val="num" w:pos="926"/>
        </w:tabs>
        <w:ind w:left="926" w:hanging="360"/>
      </w:pPr>
    </w:lvl>
  </w:abstractNum>
  <w:abstractNum w:abstractNumId="3">
    <w:nsid w:val="FFFFFF7F"/>
    <w:multiLevelType w:val="singleLevel"/>
    <w:tmpl w:val="5DEA4416"/>
    <w:lvl w:ilvl="0">
      <w:start w:val="1"/>
      <w:numFmt w:val="decimal"/>
      <w:lvlText w:val="%1."/>
      <w:lvlJc w:val="left"/>
      <w:pPr>
        <w:tabs>
          <w:tab w:val="num" w:pos="643"/>
        </w:tabs>
        <w:ind w:left="643" w:hanging="360"/>
      </w:pPr>
    </w:lvl>
  </w:abstractNum>
  <w:abstractNum w:abstractNumId="4">
    <w:nsid w:val="FFFFFF80"/>
    <w:multiLevelType w:val="singleLevel"/>
    <w:tmpl w:val="CEB20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E8BF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8286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0C5A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DE2F4A"/>
    <w:lvl w:ilvl="0">
      <w:start w:val="1"/>
      <w:numFmt w:val="decimal"/>
      <w:lvlText w:val="%1."/>
      <w:lvlJc w:val="left"/>
      <w:pPr>
        <w:tabs>
          <w:tab w:val="num" w:pos="360"/>
        </w:tabs>
        <w:ind w:left="360" w:hanging="360"/>
      </w:pPr>
    </w:lvl>
  </w:abstractNum>
  <w:abstractNum w:abstractNumId="9">
    <w:nsid w:val="FFFFFF89"/>
    <w:multiLevelType w:val="singleLevel"/>
    <w:tmpl w:val="FA0A1D76"/>
    <w:lvl w:ilvl="0">
      <w:start w:val="1"/>
      <w:numFmt w:val="bullet"/>
      <w:lvlText w:val=""/>
      <w:lvlJc w:val="left"/>
      <w:pPr>
        <w:tabs>
          <w:tab w:val="num" w:pos="360"/>
        </w:tabs>
        <w:ind w:left="360" w:hanging="360"/>
      </w:pPr>
      <w:rPr>
        <w:rFonts w:ascii="Symbol" w:hAnsi="Symbol" w:hint="default"/>
      </w:rPr>
    </w:lvl>
  </w:abstractNum>
  <w:abstractNum w:abstractNumId="10">
    <w:nsid w:val="026874F8"/>
    <w:multiLevelType w:val="hybridMultilevel"/>
    <w:tmpl w:val="29E22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832454"/>
    <w:multiLevelType w:val="hybridMultilevel"/>
    <w:tmpl w:val="D760F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74F09FE"/>
    <w:multiLevelType w:val="hybridMultilevel"/>
    <w:tmpl w:val="0BA4C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F446D8"/>
    <w:multiLevelType w:val="hybridMultilevel"/>
    <w:tmpl w:val="24B80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ocumentProtection w:edit="readOnly" w:enforcement="0"/>
  <w:defaultTabStop w:val="709"/>
  <w:hyphenationZone w:val="425"/>
  <w:drawingGridHorizontalSpacing w:val="110"/>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587972"/>
    <w:rsid w:val="00052595"/>
    <w:rsid w:val="00061390"/>
    <w:rsid w:val="000E1348"/>
    <w:rsid w:val="000E72EC"/>
    <w:rsid w:val="000F25A1"/>
    <w:rsid w:val="001225F8"/>
    <w:rsid w:val="00140206"/>
    <w:rsid w:val="001757AD"/>
    <w:rsid w:val="0018323C"/>
    <w:rsid w:val="00184F06"/>
    <w:rsid w:val="001C0EA0"/>
    <w:rsid w:val="001C139F"/>
    <w:rsid w:val="001F0365"/>
    <w:rsid w:val="001F5945"/>
    <w:rsid w:val="00277E88"/>
    <w:rsid w:val="002C10D2"/>
    <w:rsid w:val="002D27E2"/>
    <w:rsid w:val="002F3204"/>
    <w:rsid w:val="002F3526"/>
    <w:rsid w:val="002F46D8"/>
    <w:rsid w:val="0032078E"/>
    <w:rsid w:val="00324D99"/>
    <w:rsid w:val="003317B5"/>
    <w:rsid w:val="00337511"/>
    <w:rsid w:val="00366856"/>
    <w:rsid w:val="00383727"/>
    <w:rsid w:val="003A02E4"/>
    <w:rsid w:val="003C5E56"/>
    <w:rsid w:val="003F544A"/>
    <w:rsid w:val="004A4969"/>
    <w:rsid w:val="004B752F"/>
    <w:rsid w:val="004D084B"/>
    <w:rsid w:val="004E469F"/>
    <w:rsid w:val="00505DB5"/>
    <w:rsid w:val="00525815"/>
    <w:rsid w:val="0053515F"/>
    <w:rsid w:val="0055251F"/>
    <w:rsid w:val="00555AC4"/>
    <w:rsid w:val="00584227"/>
    <w:rsid w:val="00587972"/>
    <w:rsid w:val="0059227E"/>
    <w:rsid w:val="005B7DBD"/>
    <w:rsid w:val="005C09A2"/>
    <w:rsid w:val="005D5952"/>
    <w:rsid w:val="005F3522"/>
    <w:rsid w:val="0060754C"/>
    <w:rsid w:val="00652F36"/>
    <w:rsid w:val="00695245"/>
    <w:rsid w:val="006D3F80"/>
    <w:rsid w:val="006D5724"/>
    <w:rsid w:val="006D63FF"/>
    <w:rsid w:val="006E4FD7"/>
    <w:rsid w:val="006E54E5"/>
    <w:rsid w:val="006F3FFD"/>
    <w:rsid w:val="007307D2"/>
    <w:rsid w:val="00776581"/>
    <w:rsid w:val="007909FD"/>
    <w:rsid w:val="00790E9C"/>
    <w:rsid w:val="007B2C69"/>
    <w:rsid w:val="007F2D4C"/>
    <w:rsid w:val="00814FE1"/>
    <w:rsid w:val="008224B8"/>
    <w:rsid w:val="00856E31"/>
    <w:rsid w:val="008718EE"/>
    <w:rsid w:val="008A7E4B"/>
    <w:rsid w:val="008C52C3"/>
    <w:rsid w:val="008F28B7"/>
    <w:rsid w:val="00934F62"/>
    <w:rsid w:val="0093751C"/>
    <w:rsid w:val="009B1BAC"/>
    <w:rsid w:val="009B3AE1"/>
    <w:rsid w:val="009B6B09"/>
    <w:rsid w:val="009E5B0A"/>
    <w:rsid w:val="00A06E15"/>
    <w:rsid w:val="00AB1204"/>
    <w:rsid w:val="00AD0D3E"/>
    <w:rsid w:val="00AE6F94"/>
    <w:rsid w:val="00B04537"/>
    <w:rsid w:val="00B34ADF"/>
    <w:rsid w:val="00B54F97"/>
    <w:rsid w:val="00B62409"/>
    <w:rsid w:val="00BB568D"/>
    <w:rsid w:val="00BF3709"/>
    <w:rsid w:val="00C52BE2"/>
    <w:rsid w:val="00C63F3B"/>
    <w:rsid w:val="00CD3A6B"/>
    <w:rsid w:val="00CD3BAA"/>
    <w:rsid w:val="00D02367"/>
    <w:rsid w:val="00D116BD"/>
    <w:rsid w:val="00D57E96"/>
    <w:rsid w:val="00D75DF5"/>
    <w:rsid w:val="00D95F0C"/>
    <w:rsid w:val="00DA0AE9"/>
    <w:rsid w:val="00DB15EF"/>
    <w:rsid w:val="00DE2769"/>
    <w:rsid w:val="00DE33F8"/>
    <w:rsid w:val="00E03042"/>
    <w:rsid w:val="00E564C6"/>
    <w:rsid w:val="00E71772"/>
    <w:rsid w:val="00E72C96"/>
    <w:rsid w:val="00E8098F"/>
    <w:rsid w:val="00E95E67"/>
    <w:rsid w:val="00EC3FC4"/>
    <w:rsid w:val="00EE1E56"/>
    <w:rsid w:val="00F2445C"/>
    <w:rsid w:val="00F47004"/>
    <w:rsid w:val="00F530EB"/>
    <w:rsid w:val="00F7119C"/>
    <w:rsid w:val="00FA3E6C"/>
    <w:rsid w:val="00FB35F1"/>
    <w:rsid w:val="00FB4EBC"/>
    <w:rsid w:val="00FF1E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Standaard">
    <w:name w:val="Normal"/>
    <w:qFormat/>
    <w:rsid w:val="00776581"/>
    <w:pPr>
      <w:spacing w:after="0" w:line="280" w:lineRule="auto"/>
    </w:pPr>
    <w:rPr>
      <w:rFonts w:ascii="Arial" w:hAnsi="Arial"/>
      <w:color w:val="323232"/>
    </w:rPr>
  </w:style>
  <w:style w:type="paragraph" w:styleId="Kop1">
    <w:name w:val="heading 1"/>
    <w:basedOn w:val="Standaard"/>
    <w:next w:val="Standaard"/>
    <w:link w:val="Kop1Char"/>
    <w:uiPriority w:val="9"/>
    <w:qFormat/>
    <w:rsid w:val="0018323C"/>
    <w:pPr>
      <w:keepNext/>
      <w:keepLines/>
      <w:spacing w:before="480"/>
      <w:outlineLvl w:val="0"/>
    </w:pPr>
    <w:rPr>
      <w:rFonts w:asciiTheme="majorHAnsi" w:eastAsiaTheme="majorEastAsia" w:hAnsiTheme="majorHAnsi" w:cstheme="majorBidi"/>
      <w:b/>
      <w:bCs/>
      <w:color w:val="2A4155" w:themeColor="accent1"/>
      <w:sz w:val="28"/>
      <w:szCs w:val="28"/>
    </w:rPr>
  </w:style>
  <w:style w:type="paragraph" w:styleId="Kop2">
    <w:name w:val="heading 2"/>
    <w:basedOn w:val="Standaard"/>
    <w:next w:val="Standaard"/>
    <w:link w:val="Kop2Char"/>
    <w:uiPriority w:val="9"/>
    <w:unhideWhenUsed/>
    <w:qFormat/>
    <w:rsid w:val="001C0EA0"/>
    <w:pPr>
      <w:keepNext/>
      <w:keepLines/>
      <w:spacing w:before="200"/>
      <w:outlineLvl w:val="1"/>
    </w:pPr>
    <w:rPr>
      <w:rFonts w:asciiTheme="majorHAnsi" w:eastAsiaTheme="majorEastAsia" w:hAnsiTheme="majorHAnsi" w:cstheme="majorBidi"/>
      <w:b/>
      <w:bCs/>
      <w:color w:val="2A4155" w:themeColor="accent1"/>
      <w:sz w:val="26"/>
      <w:szCs w:val="26"/>
    </w:rPr>
  </w:style>
  <w:style w:type="paragraph" w:styleId="Kop3">
    <w:name w:val="heading 3"/>
    <w:basedOn w:val="Standaard"/>
    <w:next w:val="Standaard"/>
    <w:link w:val="Kop3Char"/>
    <w:uiPriority w:val="9"/>
    <w:semiHidden/>
    <w:unhideWhenUsed/>
    <w:qFormat/>
    <w:rsid w:val="004D084B"/>
    <w:pPr>
      <w:keepNext/>
      <w:keepLines/>
      <w:spacing w:before="200"/>
      <w:outlineLvl w:val="2"/>
    </w:pPr>
    <w:rPr>
      <w:rFonts w:asciiTheme="majorHAnsi" w:eastAsiaTheme="majorEastAsia" w:hAnsiTheme="majorHAnsi" w:cstheme="majorBidi"/>
      <w:b/>
      <w:bCs/>
      <w:color w:val="2A415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10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10D2"/>
  </w:style>
  <w:style w:type="paragraph" w:styleId="Voettekst">
    <w:name w:val="footer"/>
    <w:basedOn w:val="Standaard"/>
    <w:link w:val="VoettekstChar"/>
    <w:uiPriority w:val="99"/>
    <w:unhideWhenUsed/>
    <w:rsid w:val="002C10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C10D2"/>
  </w:style>
  <w:style w:type="character" w:styleId="Hyperlink">
    <w:name w:val="Hyperlink"/>
    <w:basedOn w:val="Standaardalinea-lettertype"/>
    <w:uiPriority w:val="99"/>
    <w:unhideWhenUsed/>
    <w:rsid w:val="00052595"/>
    <w:rPr>
      <w:color w:val="2A4155" w:themeColor="hyperlink"/>
      <w:u w:val="single"/>
    </w:rPr>
  </w:style>
  <w:style w:type="character" w:styleId="Tekstvantijdelijkeaanduiding">
    <w:name w:val="Placeholder Text"/>
    <w:basedOn w:val="Standaardalinea-lettertype"/>
    <w:uiPriority w:val="99"/>
    <w:semiHidden/>
    <w:rsid w:val="00DE2769"/>
    <w:rPr>
      <w:color w:val="808080"/>
    </w:rPr>
  </w:style>
  <w:style w:type="paragraph" w:styleId="Ballontekst">
    <w:name w:val="Balloon Text"/>
    <w:basedOn w:val="Standaard"/>
    <w:link w:val="BallontekstChar"/>
    <w:uiPriority w:val="99"/>
    <w:semiHidden/>
    <w:unhideWhenUsed/>
    <w:rsid w:val="00DE276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2769"/>
    <w:rPr>
      <w:rFonts w:ascii="Tahoma" w:hAnsi="Tahoma" w:cs="Tahoma"/>
      <w:color w:val="323232"/>
      <w:sz w:val="16"/>
      <w:szCs w:val="16"/>
    </w:rPr>
  </w:style>
  <w:style w:type="table" w:styleId="Tabelraster">
    <w:name w:val="Table Grid"/>
    <w:basedOn w:val="Standaardtabel"/>
    <w:uiPriority w:val="59"/>
    <w:rsid w:val="00F71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1C0EA0"/>
    <w:rPr>
      <w:rFonts w:asciiTheme="majorHAnsi" w:eastAsiaTheme="majorEastAsia" w:hAnsiTheme="majorHAnsi" w:cstheme="majorBidi"/>
      <w:b/>
      <w:bCs/>
      <w:color w:val="2A4155" w:themeColor="accent1"/>
      <w:sz w:val="26"/>
      <w:szCs w:val="26"/>
    </w:rPr>
  </w:style>
  <w:style w:type="character" w:customStyle="1" w:styleId="Kop1Char">
    <w:name w:val="Kop 1 Char"/>
    <w:basedOn w:val="Standaardalinea-lettertype"/>
    <w:link w:val="Kop1"/>
    <w:uiPriority w:val="9"/>
    <w:rsid w:val="0018323C"/>
    <w:rPr>
      <w:rFonts w:asciiTheme="majorHAnsi" w:eastAsiaTheme="majorEastAsia" w:hAnsiTheme="majorHAnsi" w:cstheme="majorBidi"/>
      <w:b/>
      <w:bCs/>
      <w:color w:val="2A4155" w:themeColor="accent1"/>
      <w:sz w:val="28"/>
      <w:szCs w:val="28"/>
    </w:rPr>
  </w:style>
  <w:style w:type="character" w:customStyle="1" w:styleId="Kop3Char">
    <w:name w:val="Kop 3 Char"/>
    <w:basedOn w:val="Standaardalinea-lettertype"/>
    <w:link w:val="Kop3"/>
    <w:uiPriority w:val="9"/>
    <w:semiHidden/>
    <w:rsid w:val="004D084B"/>
    <w:rPr>
      <w:rFonts w:asciiTheme="majorHAnsi" w:eastAsiaTheme="majorEastAsia" w:hAnsiTheme="majorHAnsi" w:cstheme="majorBidi"/>
      <w:b/>
      <w:bCs/>
      <w:color w:val="2A4155" w:themeColor="accent1"/>
    </w:rPr>
  </w:style>
  <w:style w:type="paragraph" w:styleId="Lijstalinea">
    <w:name w:val="List Paragraph"/>
    <w:basedOn w:val="Standaard"/>
    <w:uiPriority w:val="34"/>
    <w:qFormat/>
    <w:rsid w:val="00555AC4"/>
    <w:pPr>
      <w:ind w:left="720"/>
      <w:contextualSpacing/>
    </w:pPr>
  </w:style>
</w:styles>
</file>

<file path=word/webSettings.xml><?xml version="1.0" encoding="utf-8"?>
<w:webSettings xmlns:r="http://schemas.openxmlformats.org/officeDocument/2006/relationships" xmlns:w="http://schemas.openxmlformats.org/wordprocessingml/2006/main">
  <w:divs>
    <w:div w:id="18608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uka.nl/lar-luka-appendage-regis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Van Hout adviseurs en installateurs">
      <a:dk1>
        <a:srgbClr val="323232"/>
      </a:dk1>
      <a:lt1>
        <a:sysClr val="window" lastClr="FFFFFF"/>
      </a:lt1>
      <a:dk2>
        <a:srgbClr val="323232"/>
      </a:dk2>
      <a:lt2>
        <a:srgbClr val="FFFFFF"/>
      </a:lt2>
      <a:accent1>
        <a:srgbClr val="2A4155"/>
      </a:accent1>
      <a:accent2>
        <a:srgbClr val="B40B37"/>
      </a:accent2>
      <a:accent3>
        <a:srgbClr val="9BBB59"/>
      </a:accent3>
      <a:accent4>
        <a:srgbClr val="8064A2"/>
      </a:accent4>
      <a:accent5>
        <a:srgbClr val="4BACC6"/>
      </a:accent5>
      <a:accent6>
        <a:srgbClr val="F79646"/>
      </a:accent6>
      <a:hlink>
        <a:srgbClr val="2A4155"/>
      </a:hlink>
      <a:folHlink>
        <a:srgbClr val="B40B37"/>
      </a:folHlink>
    </a:clrScheme>
    <a:fontScheme name="Van Hout adviseurs en installateurs">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1516</Words>
  <Characters>8338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ter Mors</dc:creator>
  <cp:keywords/>
  <dc:description/>
  <cp:lastModifiedBy>Sander ter Mors</cp:lastModifiedBy>
  <cp:revision>7</cp:revision>
  <cp:lastPrinted>2016-01-04T10:17:00Z</cp:lastPrinted>
  <dcterms:created xsi:type="dcterms:W3CDTF">2016-01-04T08:47:00Z</dcterms:created>
  <dcterms:modified xsi:type="dcterms:W3CDTF">2016-01-04T10:17:00Z</dcterms:modified>
</cp:coreProperties>
</file>